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DE07E" w14:textId="77777777" w:rsidR="00A76C7C" w:rsidRDefault="00A76C7C">
      <w:pPr>
        <w:pStyle w:val="BodyText"/>
        <w:spacing w:before="10" w:after="1"/>
        <w:rPr>
          <w:rFonts w:ascii="Times New Roman"/>
          <w:sz w:val="23"/>
        </w:rPr>
      </w:pPr>
    </w:p>
    <w:p w14:paraId="76ADE07F" w14:textId="77777777" w:rsidR="00A76C7C" w:rsidRDefault="009635E4">
      <w:pPr>
        <w:pStyle w:val="BodyText"/>
        <w:ind w:left="118"/>
        <w:rPr>
          <w:rFonts w:ascii="Times New Roman"/>
          <w:sz w:val="20"/>
        </w:rPr>
      </w:pPr>
      <w:r>
        <w:rPr>
          <w:rFonts w:ascii="Times New Roman"/>
          <w:noProof/>
          <w:sz w:val="20"/>
          <w:lang w:bidi="ar-SA"/>
        </w:rPr>
        <w:drawing>
          <wp:inline distT="0" distB="0" distL="0" distR="0" wp14:anchorId="76ADE0C8" wp14:editId="76ADE0C9">
            <wp:extent cx="1484015" cy="4495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484015" cy="449579"/>
                    </a:xfrm>
                    <a:prstGeom prst="rect">
                      <a:avLst/>
                    </a:prstGeom>
                  </pic:spPr>
                </pic:pic>
              </a:graphicData>
            </a:graphic>
          </wp:inline>
        </w:drawing>
      </w:r>
    </w:p>
    <w:p w14:paraId="76ADE080" w14:textId="77777777" w:rsidR="00A76C7C" w:rsidRDefault="00A76C7C">
      <w:pPr>
        <w:pStyle w:val="BodyText"/>
        <w:spacing w:before="2"/>
        <w:rPr>
          <w:rFonts w:ascii="Times New Roman"/>
          <w:sz w:val="20"/>
        </w:rPr>
      </w:pPr>
    </w:p>
    <w:p w14:paraId="76ADE081" w14:textId="77777777" w:rsidR="009635E4" w:rsidRDefault="009635E4">
      <w:pPr>
        <w:pStyle w:val="BodyText"/>
        <w:spacing w:before="2"/>
        <w:rPr>
          <w:rFonts w:ascii="Times New Roman"/>
          <w:sz w:val="23"/>
        </w:rPr>
      </w:pPr>
    </w:p>
    <w:p w14:paraId="76ADE082" w14:textId="77777777" w:rsidR="00A76C7C" w:rsidRPr="00756FA9" w:rsidRDefault="008F06F4">
      <w:pPr>
        <w:pStyle w:val="Heading1"/>
        <w:spacing w:before="96"/>
        <w:rPr>
          <w:rFonts w:ascii="Arial" w:hAnsi="Arial" w:cs="Arial"/>
        </w:rPr>
      </w:pPr>
      <w:r w:rsidRPr="00756FA9">
        <w:rPr>
          <w:rFonts w:ascii="Arial" w:hAnsi="Arial" w:cs="Arial"/>
        </w:rPr>
        <w:t>C</w:t>
      </w:r>
      <w:r w:rsidR="009635E4" w:rsidRPr="00756FA9">
        <w:rPr>
          <w:rFonts w:ascii="Arial" w:hAnsi="Arial" w:cs="Arial"/>
        </w:rPr>
        <w:t>omplaints</w:t>
      </w:r>
      <w:r w:rsidR="009635E4" w:rsidRPr="00756FA9">
        <w:rPr>
          <w:rFonts w:ascii="Arial" w:hAnsi="Arial" w:cs="Arial"/>
          <w:spacing w:val="-58"/>
        </w:rPr>
        <w:t xml:space="preserve"> </w:t>
      </w:r>
      <w:r w:rsidRPr="00756FA9">
        <w:rPr>
          <w:rFonts w:ascii="Arial" w:hAnsi="Arial" w:cs="Arial"/>
          <w:spacing w:val="-58"/>
        </w:rPr>
        <w:t xml:space="preserve"> </w:t>
      </w:r>
      <w:r w:rsidRPr="00756FA9">
        <w:rPr>
          <w:rFonts w:ascii="Arial" w:hAnsi="Arial" w:cs="Arial"/>
        </w:rPr>
        <w:t xml:space="preserve">Policy and </w:t>
      </w:r>
      <w:r w:rsidRPr="00756FA9">
        <w:rPr>
          <w:rFonts w:ascii="Arial" w:hAnsi="Arial" w:cs="Arial"/>
          <w:spacing w:val="-58"/>
        </w:rPr>
        <w:t xml:space="preserve"> </w:t>
      </w:r>
      <w:r w:rsidRPr="00756FA9">
        <w:rPr>
          <w:rFonts w:ascii="Arial" w:hAnsi="Arial" w:cs="Arial"/>
        </w:rPr>
        <w:t>P</w:t>
      </w:r>
      <w:r w:rsidR="009635E4" w:rsidRPr="00756FA9">
        <w:rPr>
          <w:rFonts w:ascii="Arial" w:hAnsi="Arial" w:cs="Arial"/>
        </w:rPr>
        <w:t>rocedure</w:t>
      </w:r>
    </w:p>
    <w:p w14:paraId="76ADE083" w14:textId="77777777" w:rsidR="00A76C7C" w:rsidRPr="00756FA9" w:rsidRDefault="00A76C7C">
      <w:pPr>
        <w:pStyle w:val="BodyText"/>
        <w:rPr>
          <w:sz w:val="20"/>
        </w:rPr>
      </w:pPr>
    </w:p>
    <w:p w14:paraId="76ADE084" w14:textId="77777777" w:rsidR="008F06F4" w:rsidRPr="00756FA9" w:rsidRDefault="008F06F4" w:rsidP="008F06F4">
      <w:pPr>
        <w:pStyle w:val="ListParagraph"/>
        <w:widowControl/>
        <w:numPr>
          <w:ilvl w:val="0"/>
          <w:numId w:val="1"/>
        </w:numPr>
        <w:autoSpaceDE/>
        <w:autoSpaceDN/>
        <w:ind w:left="284" w:firstLine="0"/>
        <w:contextualSpacing/>
      </w:pPr>
      <w:r w:rsidRPr="00756FA9">
        <w:rPr>
          <w:b/>
          <w:bCs/>
        </w:rPr>
        <w:t>Status of Policy</w:t>
      </w:r>
      <w:r w:rsidRPr="00756FA9">
        <w:t xml:space="preserve">:                    Non-contractual </w:t>
      </w:r>
    </w:p>
    <w:p w14:paraId="76ADE085" w14:textId="77777777" w:rsidR="008F06F4" w:rsidRPr="00756FA9" w:rsidRDefault="008F06F4" w:rsidP="008F06F4">
      <w:pPr>
        <w:pStyle w:val="ListParagraph"/>
        <w:widowControl/>
        <w:autoSpaceDE/>
        <w:autoSpaceDN/>
        <w:ind w:left="284"/>
        <w:contextualSpacing/>
      </w:pPr>
    </w:p>
    <w:p w14:paraId="76ADE086" w14:textId="77777777" w:rsidR="008F06F4" w:rsidRPr="00756FA9" w:rsidRDefault="008F06F4" w:rsidP="008F06F4">
      <w:pPr>
        <w:pStyle w:val="ListParagraph"/>
        <w:widowControl/>
        <w:numPr>
          <w:ilvl w:val="0"/>
          <w:numId w:val="1"/>
        </w:numPr>
        <w:autoSpaceDE/>
        <w:autoSpaceDN/>
        <w:ind w:left="284" w:firstLine="0"/>
        <w:contextualSpacing/>
      </w:pPr>
      <w:r w:rsidRPr="00756FA9">
        <w:rPr>
          <w:b/>
          <w:bCs/>
        </w:rPr>
        <w:t>Policy applies to:</w:t>
      </w:r>
      <w:r w:rsidRPr="00756FA9">
        <w:t xml:space="preserve">                  Employees of the Diocesan Board of Finance (DBF)</w:t>
      </w:r>
    </w:p>
    <w:p w14:paraId="76ADE087" w14:textId="658287DE" w:rsidR="008F06F4" w:rsidRPr="00756FA9" w:rsidRDefault="008F06F4" w:rsidP="008F06F4">
      <w:pPr>
        <w:pStyle w:val="ListParagraph"/>
        <w:widowControl/>
        <w:numPr>
          <w:ilvl w:val="0"/>
          <w:numId w:val="1"/>
        </w:numPr>
        <w:autoSpaceDE/>
        <w:autoSpaceDN/>
        <w:ind w:left="284" w:firstLine="0"/>
        <w:contextualSpacing/>
      </w:pPr>
      <w:r w:rsidRPr="00756FA9">
        <w:rPr>
          <w:b/>
          <w:bCs/>
        </w:rPr>
        <w:t>Date of Last Review:</w:t>
      </w:r>
      <w:r w:rsidR="00756FA9" w:rsidRPr="00756FA9">
        <w:t>             </w:t>
      </w:r>
      <w:r w:rsidR="00D3011E">
        <w:t>20</w:t>
      </w:r>
      <w:r w:rsidR="007B2847">
        <w:t>23</w:t>
      </w:r>
      <w:r w:rsidRPr="00756FA9">
        <w:t xml:space="preserve">        </w:t>
      </w:r>
    </w:p>
    <w:p w14:paraId="76ADE088" w14:textId="40AA6CED" w:rsidR="008F06F4" w:rsidRPr="00756FA9" w:rsidRDefault="008F06F4" w:rsidP="008F06F4">
      <w:pPr>
        <w:pStyle w:val="ListParagraph"/>
        <w:widowControl/>
        <w:numPr>
          <w:ilvl w:val="0"/>
          <w:numId w:val="1"/>
        </w:numPr>
        <w:autoSpaceDE/>
        <w:autoSpaceDN/>
        <w:ind w:left="284" w:firstLine="0"/>
        <w:contextualSpacing/>
      </w:pPr>
      <w:r w:rsidRPr="00756FA9">
        <w:rPr>
          <w:b/>
          <w:bCs/>
        </w:rPr>
        <w:t>Future Review Date:</w:t>
      </w:r>
      <w:r w:rsidRPr="00756FA9">
        <w:t xml:space="preserve">             </w:t>
      </w:r>
      <w:r w:rsidR="00D3011E">
        <w:t>202</w:t>
      </w:r>
      <w:r w:rsidR="007B2847">
        <w:t>5</w:t>
      </w:r>
    </w:p>
    <w:p w14:paraId="76ADE089" w14:textId="77777777" w:rsidR="00756FA9" w:rsidRDefault="00756FA9" w:rsidP="00756FA9">
      <w:pPr>
        <w:widowControl/>
        <w:autoSpaceDE/>
        <w:autoSpaceDN/>
        <w:contextualSpacing/>
      </w:pPr>
    </w:p>
    <w:p w14:paraId="76ADE08A" w14:textId="77777777" w:rsidR="008F06F4" w:rsidRPr="00756FA9" w:rsidRDefault="008F06F4" w:rsidP="00756FA9">
      <w:pPr>
        <w:pStyle w:val="ListParagraph"/>
        <w:widowControl/>
        <w:numPr>
          <w:ilvl w:val="0"/>
          <w:numId w:val="5"/>
        </w:numPr>
        <w:autoSpaceDE/>
        <w:autoSpaceDN/>
        <w:contextualSpacing/>
        <w:rPr>
          <w:b/>
          <w:bCs/>
          <w:sz w:val="24"/>
          <w:szCs w:val="24"/>
        </w:rPr>
      </w:pPr>
      <w:r w:rsidRPr="00756FA9">
        <w:rPr>
          <w:b/>
          <w:bCs/>
          <w:sz w:val="24"/>
          <w:szCs w:val="24"/>
        </w:rPr>
        <w:t>Introduction</w:t>
      </w:r>
    </w:p>
    <w:p w14:paraId="76ADE08B" w14:textId="77777777" w:rsidR="00A76C7C" w:rsidRPr="00756FA9" w:rsidRDefault="00A76C7C">
      <w:pPr>
        <w:pStyle w:val="BodyText"/>
        <w:spacing w:before="8"/>
        <w:rPr>
          <w:sz w:val="32"/>
        </w:rPr>
      </w:pPr>
    </w:p>
    <w:p w14:paraId="76ADE08C" w14:textId="77777777" w:rsidR="00A76C7C" w:rsidRPr="00756FA9" w:rsidRDefault="009635E4">
      <w:pPr>
        <w:pStyle w:val="BodyText"/>
        <w:spacing w:line="276" w:lineRule="auto"/>
        <w:ind w:left="198" w:right="465"/>
      </w:pPr>
      <w:r w:rsidRPr="00756FA9">
        <w:t>Whilst we hope you will never have to cause to complain, sadly, sometimes things do go wrong. The Diocese of Bristol views complaints as an opportunity to put things right, learn and to make improvements for the future.</w:t>
      </w:r>
    </w:p>
    <w:p w14:paraId="76ADE08D" w14:textId="77777777" w:rsidR="00A76C7C" w:rsidRPr="00756FA9" w:rsidRDefault="00A76C7C">
      <w:pPr>
        <w:pStyle w:val="BodyText"/>
        <w:spacing w:before="1"/>
        <w:rPr>
          <w:sz w:val="25"/>
        </w:rPr>
      </w:pPr>
    </w:p>
    <w:p w14:paraId="76ADE08E" w14:textId="77777777" w:rsidR="00A76C7C" w:rsidRPr="00756FA9" w:rsidRDefault="009635E4">
      <w:pPr>
        <w:pStyle w:val="BodyText"/>
        <w:spacing w:before="1" w:line="276" w:lineRule="auto"/>
        <w:ind w:left="198" w:right="117"/>
      </w:pPr>
      <w:r w:rsidRPr="00756FA9">
        <w:t>The Diocese of Bristol has a Complaints policy which gives initial guidance and will direct you to the appropriate procedure or course of action. The Policy and Initial Guidance can be found here.</w:t>
      </w:r>
    </w:p>
    <w:p w14:paraId="76ADE08F" w14:textId="77777777" w:rsidR="00A76C7C" w:rsidRPr="00756FA9" w:rsidRDefault="00A76C7C">
      <w:pPr>
        <w:pStyle w:val="BodyText"/>
        <w:spacing w:before="3"/>
        <w:rPr>
          <w:sz w:val="25"/>
        </w:rPr>
      </w:pPr>
    </w:p>
    <w:p w14:paraId="76ADE090" w14:textId="77777777" w:rsidR="00A76C7C" w:rsidRPr="00756FA9" w:rsidRDefault="009635E4">
      <w:pPr>
        <w:pStyle w:val="BodyText"/>
        <w:spacing w:line="276" w:lineRule="auto"/>
        <w:ind w:left="198" w:right="465"/>
      </w:pPr>
      <w:r w:rsidRPr="00756FA9">
        <w:t>This procedure relates to complaints about the Diocesan Support Services, its employees and other employees of the DBF. If the complaint relates to a complaint about the safeguarding service, a separate procedure should be followed.</w:t>
      </w:r>
    </w:p>
    <w:p w14:paraId="76ADE091" w14:textId="77777777" w:rsidR="00756FA9" w:rsidRDefault="00756FA9" w:rsidP="00756FA9">
      <w:pPr>
        <w:pStyle w:val="Heading1"/>
        <w:ind w:left="0"/>
        <w:rPr>
          <w:rFonts w:ascii="Arial" w:eastAsia="Arial" w:hAnsi="Arial" w:cs="Arial"/>
          <w:sz w:val="24"/>
          <w:szCs w:val="22"/>
        </w:rPr>
      </w:pPr>
    </w:p>
    <w:p w14:paraId="76ADE092" w14:textId="77777777" w:rsidR="00A76C7C" w:rsidRPr="00756FA9" w:rsidRDefault="009635E4" w:rsidP="00756FA9">
      <w:pPr>
        <w:pStyle w:val="Heading1"/>
        <w:numPr>
          <w:ilvl w:val="0"/>
          <w:numId w:val="5"/>
        </w:numPr>
        <w:rPr>
          <w:rFonts w:ascii="Arial" w:hAnsi="Arial" w:cs="Arial"/>
          <w:b/>
          <w:sz w:val="24"/>
          <w:szCs w:val="24"/>
        </w:rPr>
      </w:pPr>
      <w:r w:rsidRPr="00756FA9">
        <w:rPr>
          <w:rFonts w:ascii="Arial" w:hAnsi="Arial" w:cs="Arial"/>
          <w:b/>
          <w:sz w:val="24"/>
          <w:szCs w:val="24"/>
        </w:rPr>
        <w:t>Resolving Complaints</w:t>
      </w:r>
    </w:p>
    <w:p w14:paraId="76ADE093" w14:textId="77777777" w:rsidR="00A76C7C" w:rsidRPr="00756FA9" w:rsidRDefault="00A76C7C">
      <w:pPr>
        <w:pStyle w:val="BodyText"/>
        <w:spacing w:before="6"/>
        <w:rPr>
          <w:sz w:val="32"/>
        </w:rPr>
      </w:pPr>
    </w:p>
    <w:p w14:paraId="76ADE094" w14:textId="77777777" w:rsidR="00A76C7C" w:rsidRPr="00756FA9" w:rsidRDefault="009635E4">
      <w:pPr>
        <w:pStyle w:val="Heading2"/>
      </w:pPr>
      <w:r w:rsidRPr="00756FA9">
        <w:t>Informal Approach</w:t>
      </w:r>
    </w:p>
    <w:p w14:paraId="76ADE095" w14:textId="77777777" w:rsidR="00A76C7C" w:rsidRPr="00756FA9" w:rsidRDefault="009635E4">
      <w:pPr>
        <w:pStyle w:val="BodyText"/>
        <w:spacing w:before="42" w:line="276" w:lineRule="auto"/>
        <w:ind w:left="198" w:right="306"/>
      </w:pPr>
      <w:r w:rsidRPr="00756FA9">
        <w:t>In many cases, a complaint is best resolved by the person responsible for the issue being complained about. If the complaint has been received by that person, they may be able to resolve it swiftly and should do so if possible and appropriate. Most matters can and should be resolved informally and locally.</w:t>
      </w:r>
    </w:p>
    <w:p w14:paraId="76ADE096" w14:textId="77777777" w:rsidR="00A76C7C" w:rsidRPr="00756FA9" w:rsidRDefault="00A76C7C">
      <w:pPr>
        <w:pStyle w:val="BodyText"/>
        <w:spacing w:before="3"/>
        <w:rPr>
          <w:sz w:val="25"/>
        </w:rPr>
      </w:pPr>
    </w:p>
    <w:p w14:paraId="76ADE097" w14:textId="77777777" w:rsidR="00A76C7C" w:rsidRPr="00756FA9" w:rsidRDefault="009635E4">
      <w:pPr>
        <w:pStyle w:val="BodyText"/>
        <w:spacing w:line="276" w:lineRule="auto"/>
        <w:ind w:left="198" w:right="416"/>
      </w:pPr>
      <w:r w:rsidRPr="00756FA9">
        <w:t>If for example a person is dissatisfied with the service they have received, then in the first instance they should tell that person of their dissatisfaction. He or she should be willing to listen, to discuss the matter and seek to satisfy the concerns where justified. If a person remains unhappy, the member of staff will arrange for the concerns to be discussed with a more senior member of staff.</w:t>
      </w:r>
    </w:p>
    <w:p w14:paraId="76ADE098" w14:textId="77777777" w:rsidR="00A76C7C" w:rsidRPr="00756FA9" w:rsidRDefault="00A76C7C">
      <w:pPr>
        <w:pStyle w:val="BodyText"/>
        <w:spacing w:before="3"/>
        <w:rPr>
          <w:sz w:val="25"/>
        </w:rPr>
      </w:pPr>
    </w:p>
    <w:p w14:paraId="76ADE099" w14:textId="77777777" w:rsidR="00A76C7C" w:rsidRPr="00756FA9" w:rsidRDefault="009635E4">
      <w:pPr>
        <w:pStyle w:val="BodyText"/>
        <w:spacing w:before="1" w:line="276" w:lineRule="auto"/>
        <w:ind w:left="198" w:right="233"/>
      </w:pPr>
      <w:r w:rsidRPr="00756FA9">
        <w:t>If following the informal process the complainant remains dissatisfied or the informal route is inappropriate, then the formal procedure should be followed.</w:t>
      </w:r>
    </w:p>
    <w:p w14:paraId="76ADE09A" w14:textId="77777777" w:rsidR="00A76C7C" w:rsidRPr="00756FA9" w:rsidRDefault="00A76C7C">
      <w:pPr>
        <w:pStyle w:val="BodyText"/>
        <w:rPr>
          <w:sz w:val="16"/>
        </w:rPr>
      </w:pPr>
    </w:p>
    <w:p w14:paraId="76ADE09B" w14:textId="77777777" w:rsidR="00A76C7C" w:rsidRPr="00756FA9" w:rsidRDefault="00A76C7C">
      <w:pPr>
        <w:pStyle w:val="BodyText"/>
        <w:spacing w:before="5"/>
        <w:rPr>
          <w:sz w:val="10"/>
        </w:rPr>
      </w:pPr>
    </w:p>
    <w:p w14:paraId="76ADE09C" w14:textId="77777777" w:rsidR="00A76C7C" w:rsidRPr="00756FA9" w:rsidRDefault="00A76C7C">
      <w:pPr>
        <w:rPr>
          <w:sz w:val="16"/>
        </w:rPr>
        <w:sectPr w:rsidR="00A76C7C" w:rsidRPr="00756FA9" w:rsidSect="008F06F4">
          <w:footerReference w:type="default" r:id="rId11"/>
          <w:type w:val="continuous"/>
          <w:pgSz w:w="11910" w:h="16840"/>
          <w:pgMar w:top="1580" w:right="1300" w:bottom="0" w:left="1220" w:header="720" w:footer="0" w:gutter="0"/>
          <w:cols w:space="720"/>
        </w:sectPr>
      </w:pPr>
    </w:p>
    <w:p w14:paraId="76ADE09D" w14:textId="77777777" w:rsidR="00A76C7C" w:rsidRPr="00756FA9" w:rsidRDefault="009635E4">
      <w:pPr>
        <w:pStyle w:val="Heading2"/>
        <w:spacing w:before="75"/>
      </w:pPr>
      <w:r w:rsidRPr="00756FA9">
        <w:lastRenderedPageBreak/>
        <w:t>Formal Stage One</w:t>
      </w:r>
    </w:p>
    <w:p w14:paraId="76ADE09E" w14:textId="77777777" w:rsidR="00A76C7C" w:rsidRPr="00756FA9" w:rsidRDefault="009635E4">
      <w:pPr>
        <w:pStyle w:val="BodyText"/>
        <w:spacing w:before="40" w:line="276" w:lineRule="auto"/>
        <w:ind w:left="198" w:right="257"/>
      </w:pPr>
      <w:r w:rsidRPr="00756FA9">
        <w:t>Initially, the complaint should be made in writing to the Diocesan Secretary. The complaint will be acknowledged as soon as it is received by the Diocesan Secretary and a copy of this complaints procedure will be supplied.</w:t>
      </w:r>
    </w:p>
    <w:p w14:paraId="76ADE09F" w14:textId="77777777" w:rsidR="00A76C7C" w:rsidRPr="00756FA9" w:rsidRDefault="00A76C7C">
      <w:pPr>
        <w:pStyle w:val="BodyText"/>
        <w:spacing w:before="4"/>
        <w:rPr>
          <w:sz w:val="25"/>
        </w:rPr>
      </w:pPr>
    </w:p>
    <w:p w14:paraId="76ADE0A0" w14:textId="77777777" w:rsidR="00A76C7C" w:rsidRPr="00756FA9" w:rsidRDefault="009635E4">
      <w:pPr>
        <w:pStyle w:val="BodyText"/>
        <w:spacing w:line="276" w:lineRule="auto"/>
        <w:ind w:left="198" w:right="282"/>
      </w:pPr>
      <w:r w:rsidRPr="00756FA9">
        <w:t>The Diocesan Secretary will decide who is the best person to investigate the concerns and appoint them to do so. This person will provide a formal response within two working weeks (i.e. 10 working days) following the acknowledgement of the complaint.</w:t>
      </w:r>
    </w:p>
    <w:p w14:paraId="76ADE0A1" w14:textId="77777777" w:rsidR="00A76C7C" w:rsidRPr="00756FA9" w:rsidRDefault="00A76C7C">
      <w:pPr>
        <w:pStyle w:val="BodyText"/>
        <w:spacing w:before="3"/>
        <w:rPr>
          <w:sz w:val="25"/>
        </w:rPr>
      </w:pPr>
    </w:p>
    <w:p w14:paraId="76ADE0A2" w14:textId="77777777" w:rsidR="00A76C7C" w:rsidRPr="00756FA9" w:rsidRDefault="009635E4">
      <w:pPr>
        <w:pStyle w:val="BodyText"/>
        <w:spacing w:before="1" w:line="276" w:lineRule="auto"/>
        <w:ind w:left="198" w:right="268"/>
      </w:pPr>
      <w:r w:rsidRPr="00756FA9">
        <w:t>It is hoped that, on receipt of the formal response to the complaint, an acceptable resolution can be found and the complaint can be concluded to the complainant’s satisfaction at this level. However, if the complainant remains dissatisfied, s/he is able to proceed to formal Stage Two (see section below).</w:t>
      </w:r>
    </w:p>
    <w:p w14:paraId="76ADE0A3" w14:textId="77777777" w:rsidR="00A76C7C" w:rsidRPr="00756FA9" w:rsidRDefault="00A76C7C">
      <w:pPr>
        <w:pStyle w:val="BodyText"/>
        <w:rPr>
          <w:sz w:val="24"/>
        </w:rPr>
      </w:pPr>
    </w:p>
    <w:p w14:paraId="76ADE0A4" w14:textId="77777777" w:rsidR="00A76C7C" w:rsidRPr="00756FA9" w:rsidRDefault="00A76C7C">
      <w:pPr>
        <w:pStyle w:val="BodyText"/>
        <w:spacing w:before="4"/>
        <w:rPr>
          <w:sz w:val="26"/>
        </w:rPr>
      </w:pPr>
    </w:p>
    <w:p w14:paraId="76ADE0A5" w14:textId="77777777" w:rsidR="00A76C7C" w:rsidRPr="00756FA9" w:rsidRDefault="009635E4">
      <w:pPr>
        <w:pStyle w:val="Heading2"/>
      </w:pPr>
      <w:r w:rsidRPr="00756FA9">
        <w:t>Formal Stage Two</w:t>
      </w:r>
    </w:p>
    <w:p w14:paraId="76ADE0A6" w14:textId="77777777" w:rsidR="00A76C7C" w:rsidRPr="00756FA9" w:rsidRDefault="009635E4">
      <w:pPr>
        <w:pStyle w:val="BodyText"/>
        <w:spacing w:before="40" w:line="276" w:lineRule="auto"/>
        <w:ind w:left="198" w:right="539"/>
      </w:pPr>
      <w:r w:rsidRPr="00756FA9">
        <w:t>If the complainant feels that the complaint has not been satisfactorily resolved, the complainant must within two working weeks (i.e. 10 working days) of receiving the formal response request the Diocesan Secretary to initiate Stage Two.</w:t>
      </w:r>
    </w:p>
    <w:p w14:paraId="76ADE0A7" w14:textId="77777777" w:rsidR="00A76C7C" w:rsidRPr="00756FA9" w:rsidRDefault="00A76C7C">
      <w:pPr>
        <w:pStyle w:val="BodyText"/>
        <w:spacing w:before="3"/>
        <w:rPr>
          <w:sz w:val="25"/>
        </w:rPr>
      </w:pPr>
    </w:p>
    <w:p w14:paraId="76ADE0A8" w14:textId="77777777" w:rsidR="00A76C7C" w:rsidRPr="00756FA9" w:rsidRDefault="009635E4">
      <w:pPr>
        <w:pStyle w:val="BodyText"/>
        <w:spacing w:before="1" w:line="276" w:lineRule="auto"/>
        <w:ind w:left="198" w:right="306"/>
      </w:pPr>
      <w:r w:rsidRPr="00756FA9">
        <w:t>At this stage, the complaint will be considered by the Diocesan Secretary or, if s/he has already been involved in responding to the complaint, the Chair or Vice-Chair of the DBF or Chair of the HR &amp; Remuneration Committee as appropriate.</w:t>
      </w:r>
    </w:p>
    <w:p w14:paraId="76ADE0A9" w14:textId="77777777" w:rsidR="00A76C7C" w:rsidRPr="00756FA9" w:rsidRDefault="00A76C7C">
      <w:pPr>
        <w:pStyle w:val="BodyText"/>
        <w:spacing w:before="3"/>
        <w:rPr>
          <w:sz w:val="25"/>
        </w:rPr>
      </w:pPr>
    </w:p>
    <w:p w14:paraId="76ADE0AA" w14:textId="77777777" w:rsidR="00A76C7C" w:rsidRPr="00756FA9" w:rsidRDefault="009635E4">
      <w:pPr>
        <w:pStyle w:val="BodyText"/>
        <w:spacing w:line="276" w:lineRule="auto"/>
        <w:ind w:left="198" w:right="268"/>
      </w:pPr>
      <w:r w:rsidRPr="00756FA9">
        <w:t>A suitably senior person may be appointed to investigate the facts of the case. This may involve reviewing the paperwork of the case and speaking with anyone who may have been involved in dealing with the complaint at the informal stage and Formal Stage One.</w:t>
      </w:r>
    </w:p>
    <w:p w14:paraId="76ADE0AB" w14:textId="77777777" w:rsidR="00A76C7C" w:rsidRPr="00756FA9" w:rsidRDefault="00A76C7C">
      <w:pPr>
        <w:pStyle w:val="BodyText"/>
        <w:spacing w:before="4"/>
        <w:rPr>
          <w:sz w:val="25"/>
        </w:rPr>
      </w:pPr>
    </w:p>
    <w:p w14:paraId="76ADE0AC" w14:textId="77777777" w:rsidR="00A76C7C" w:rsidRPr="00756FA9" w:rsidRDefault="009635E4">
      <w:pPr>
        <w:pStyle w:val="BodyText"/>
        <w:spacing w:line="276" w:lineRule="auto"/>
        <w:ind w:left="198" w:right="451"/>
      </w:pPr>
      <w:r w:rsidRPr="00756FA9">
        <w:t>If the complaint relates to a specific person, they should be informed and given a further opportunity to respond. The person who dealt with the original complaint at the informal stage and/or Stage One should be kept informed of what is happening where appropriate.</w:t>
      </w:r>
    </w:p>
    <w:p w14:paraId="76ADE0AD" w14:textId="77777777" w:rsidR="00A76C7C" w:rsidRPr="00756FA9" w:rsidRDefault="00A76C7C">
      <w:pPr>
        <w:pStyle w:val="BodyText"/>
        <w:spacing w:before="4"/>
        <w:rPr>
          <w:sz w:val="25"/>
        </w:rPr>
      </w:pPr>
    </w:p>
    <w:p w14:paraId="76ADE0AE" w14:textId="77777777" w:rsidR="00A76C7C" w:rsidRPr="00756FA9" w:rsidRDefault="009635E4">
      <w:pPr>
        <w:pStyle w:val="BodyText"/>
        <w:spacing w:line="276" w:lineRule="auto"/>
        <w:ind w:left="198" w:right="159"/>
      </w:pPr>
      <w:r w:rsidRPr="00756FA9">
        <w:t>The reply (within 20 working days where possible) to the complainant will inform them of the action(s) taken to investigate the complaint, the conclusions from the investigation, and any action taken as a result of the complaint that can be shared. It is not normal practice to share details of whether the DBF decide to take any internal action and, if so, the outcome of such processes, due to the requirement to maintain the confidentiality of any parties involved.</w:t>
      </w:r>
    </w:p>
    <w:p w14:paraId="76ADE0AF" w14:textId="77777777" w:rsidR="00A76C7C" w:rsidRPr="00756FA9" w:rsidRDefault="00A76C7C">
      <w:pPr>
        <w:pStyle w:val="BodyText"/>
        <w:spacing w:before="3"/>
        <w:rPr>
          <w:sz w:val="25"/>
        </w:rPr>
      </w:pPr>
    </w:p>
    <w:p w14:paraId="76ADE0B0" w14:textId="77777777" w:rsidR="00A76C7C" w:rsidRPr="00756FA9" w:rsidRDefault="009635E4">
      <w:pPr>
        <w:pStyle w:val="BodyText"/>
        <w:spacing w:line="276" w:lineRule="auto"/>
        <w:ind w:left="198" w:right="207"/>
      </w:pPr>
      <w:r w:rsidRPr="00756FA9">
        <w:t>It should be recognised that in some instances people will take positions where the matter cannot be resolved. However, the aim should be to ensure that the process respects those involved and is just in providing an active concern to those who are vulnerable, marginalised or oppressed.</w:t>
      </w:r>
    </w:p>
    <w:p w14:paraId="76ADE0B1" w14:textId="77777777" w:rsidR="00A76C7C" w:rsidRPr="00756FA9" w:rsidRDefault="00A76C7C">
      <w:pPr>
        <w:pStyle w:val="BodyText"/>
        <w:spacing w:before="4"/>
        <w:rPr>
          <w:sz w:val="25"/>
        </w:rPr>
      </w:pPr>
    </w:p>
    <w:p w14:paraId="76ADE0B2" w14:textId="77777777" w:rsidR="00A76C7C" w:rsidRPr="00756FA9" w:rsidRDefault="009635E4">
      <w:pPr>
        <w:pStyle w:val="BodyText"/>
        <w:spacing w:line="278" w:lineRule="auto"/>
        <w:ind w:left="198" w:right="611"/>
      </w:pPr>
      <w:r w:rsidRPr="00756FA9">
        <w:t>The decision taken at this stage is final, unless the DBF decides it is appropriate to seek external assistance with resolution. A log of the complaint will be kept.</w:t>
      </w:r>
    </w:p>
    <w:p w14:paraId="76ADE0B3" w14:textId="77777777" w:rsidR="00A76C7C" w:rsidRPr="00756FA9" w:rsidRDefault="00A76C7C">
      <w:pPr>
        <w:pStyle w:val="BodyText"/>
        <w:rPr>
          <w:sz w:val="24"/>
        </w:rPr>
      </w:pPr>
    </w:p>
    <w:p w14:paraId="76ADE0B4" w14:textId="77777777" w:rsidR="00A76C7C" w:rsidRPr="00756FA9" w:rsidRDefault="00A76C7C">
      <w:pPr>
        <w:pStyle w:val="BodyText"/>
        <w:spacing w:before="11"/>
        <w:rPr>
          <w:sz w:val="25"/>
        </w:rPr>
      </w:pPr>
    </w:p>
    <w:p w14:paraId="76ADE0B5" w14:textId="77777777" w:rsidR="00A76C7C" w:rsidRPr="00756FA9" w:rsidRDefault="009635E4">
      <w:pPr>
        <w:pStyle w:val="Heading2"/>
      </w:pPr>
      <w:r w:rsidRPr="00756FA9">
        <w:t>External Stage</w:t>
      </w:r>
    </w:p>
    <w:p w14:paraId="76ADE0B6" w14:textId="77777777" w:rsidR="00A76C7C" w:rsidRPr="00756FA9" w:rsidRDefault="009635E4">
      <w:pPr>
        <w:pStyle w:val="BodyText"/>
        <w:spacing w:before="40" w:line="278" w:lineRule="auto"/>
        <w:ind w:left="198" w:right="196"/>
      </w:pPr>
      <w:r w:rsidRPr="00756FA9">
        <w:t>The complainant can complain to the Charity Commission at any stage. The Commission’s involvement in looking at complaints is limited to issues that pose a serious risk of significant</w:t>
      </w:r>
    </w:p>
    <w:p w14:paraId="76ADE0B7" w14:textId="77777777" w:rsidR="00A76C7C" w:rsidRPr="00756FA9" w:rsidRDefault="00A76C7C">
      <w:pPr>
        <w:spacing w:line="278" w:lineRule="auto"/>
        <w:sectPr w:rsidR="00A76C7C" w:rsidRPr="00756FA9">
          <w:footerReference w:type="default" r:id="rId12"/>
          <w:pgSz w:w="11910" w:h="16840"/>
          <w:pgMar w:top="1320" w:right="1300" w:bottom="640" w:left="1220" w:header="0" w:footer="456" w:gutter="0"/>
          <w:pgNumType w:start="2"/>
          <w:cols w:space="720"/>
        </w:sectPr>
      </w:pPr>
    </w:p>
    <w:p w14:paraId="76ADE0B8" w14:textId="77777777" w:rsidR="00A76C7C" w:rsidRPr="00756FA9" w:rsidRDefault="009635E4">
      <w:pPr>
        <w:pStyle w:val="BodyText"/>
        <w:spacing w:before="77" w:line="276" w:lineRule="auto"/>
        <w:ind w:left="198" w:right="184"/>
      </w:pPr>
      <w:r w:rsidRPr="00756FA9">
        <w:lastRenderedPageBreak/>
        <w:t xml:space="preserve">harm to a charity’s beneficiaries, assets, services or reputation. Information about the kind of complaints the Commission can involve itself in can be found on their website at: </w:t>
      </w:r>
      <w:hyperlink r:id="rId13">
        <w:r w:rsidRPr="00756FA9">
          <w:rPr>
            <w:color w:val="0000FF"/>
            <w:u w:val="single" w:color="0000FF"/>
          </w:rPr>
          <w:t>www.charitycommission.gov.uk/publications/cc47.aspx</w:t>
        </w:r>
      </w:hyperlink>
    </w:p>
    <w:p w14:paraId="76ADE0B9" w14:textId="77777777" w:rsidR="00A76C7C" w:rsidRPr="00756FA9" w:rsidRDefault="00A76C7C">
      <w:pPr>
        <w:pStyle w:val="BodyText"/>
        <w:rPr>
          <w:sz w:val="20"/>
        </w:rPr>
      </w:pPr>
    </w:p>
    <w:p w14:paraId="76ADE0BA" w14:textId="77777777" w:rsidR="00A76C7C" w:rsidRPr="00756FA9" w:rsidRDefault="00A76C7C">
      <w:pPr>
        <w:pStyle w:val="BodyText"/>
        <w:spacing w:before="3"/>
      </w:pPr>
    </w:p>
    <w:p w14:paraId="76ADE0BB" w14:textId="77777777" w:rsidR="00A76C7C" w:rsidRPr="00756FA9" w:rsidRDefault="009635E4" w:rsidP="00756FA9">
      <w:pPr>
        <w:pStyle w:val="Heading2"/>
        <w:numPr>
          <w:ilvl w:val="0"/>
          <w:numId w:val="5"/>
        </w:numPr>
        <w:spacing w:before="94"/>
      </w:pPr>
      <w:r w:rsidRPr="00756FA9">
        <w:t>Variation of the Complaints Procedure</w:t>
      </w:r>
    </w:p>
    <w:p w14:paraId="76ADE0BC" w14:textId="77777777" w:rsidR="00A76C7C" w:rsidRDefault="009635E4">
      <w:pPr>
        <w:pStyle w:val="BodyText"/>
        <w:spacing w:before="40" w:line="276" w:lineRule="auto"/>
        <w:ind w:left="198" w:right="172"/>
      </w:pPr>
      <w:r w:rsidRPr="00756FA9">
        <w:t>The DBF may vary the procedure for good reason. This may be necessary to avoid a conflict of interest, for example, a complaint about the Chair should not also have the Chair as the person leading the formal process.</w:t>
      </w:r>
    </w:p>
    <w:p w14:paraId="76ADE0BD" w14:textId="77777777" w:rsidR="00B476C8" w:rsidRDefault="00B476C8">
      <w:pPr>
        <w:pStyle w:val="BodyText"/>
        <w:spacing w:before="40" w:line="276" w:lineRule="auto"/>
        <w:ind w:left="198" w:right="172"/>
      </w:pPr>
    </w:p>
    <w:p w14:paraId="76ADE0BE" w14:textId="77777777" w:rsidR="00B476C8" w:rsidRPr="00B476C8" w:rsidRDefault="00B476C8" w:rsidP="00B476C8">
      <w:pPr>
        <w:pStyle w:val="ListParagraph"/>
        <w:widowControl/>
        <w:numPr>
          <w:ilvl w:val="0"/>
          <w:numId w:val="5"/>
        </w:numPr>
        <w:autoSpaceDE/>
        <w:autoSpaceDN/>
        <w:spacing w:line="276" w:lineRule="auto"/>
        <w:contextualSpacing/>
        <w:rPr>
          <w:b/>
          <w:bCs/>
          <w:iCs/>
        </w:rPr>
      </w:pPr>
      <w:r w:rsidRPr="00B476C8">
        <w:rPr>
          <w:b/>
          <w:bCs/>
          <w:iCs/>
        </w:rPr>
        <w:t>Privacy and Data Protection Statement</w:t>
      </w:r>
    </w:p>
    <w:p w14:paraId="76ADE0BF" w14:textId="77777777" w:rsidR="00B476C8" w:rsidRPr="00460FC2" w:rsidRDefault="00B476C8" w:rsidP="00B476C8">
      <w:pPr>
        <w:pStyle w:val="ListParagraph"/>
        <w:ind w:left="360"/>
        <w:rPr>
          <w:b/>
          <w:bCs/>
          <w:iCs/>
        </w:rPr>
      </w:pPr>
    </w:p>
    <w:p w14:paraId="76ADE0C0" w14:textId="77777777" w:rsidR="00B476C8" w:rsidRPr="00460FC2" w:rsidRDefault="00B476C8" w:rsidP="00B476C8">
      <w:pPr>
        <w:shd w:val="clear" w:color="auto" w:fill="FFFFFF"/>
        <w:spacing w:after="180"/>
        <w:rPr>
          <w:iCs/>
          <w:color w:val="000000"/>
        </w:rPr>
      </w:pPr>
      <w:r w:rsidRPr="00460FC2">
        <w:rPr>
          <w:iCs/>
        </w:rPr>
        <w:t xml:space="preserve">In accordance with the </w:t>
      </w:r>
      <w:r w:rsidRPr="00460FC2">
        <w:rPr>
          <w:iCs/>
          <w:color w:val="000000"/>
        </w:rPr>
        <w:t>GDPR (General Data Protection Regulation), employees have a right to access information that the DBF may hold on them. This includes information regarding any HR processes undertaken (e.g. flexible working applications, grievances, disciplinary action etc), or information obtained through monitoring processes (e.g collation of information about number of days sickness absence). The way in which information about an employee will be used is outlined within the DBF Privacy Notice, copies of which are available from the HR Team.  The DBF is committed to being transparent about how it collects and uses personal data and to meeting its data protection obligations. To this end, the DBF undertakes that the employee will be made aware of any information regarding them that is gathered as part of a HR process.</w:t>
      </w:r>
      <w:r>
        <w:rPr>
          <w:iCs/>
          <w:color w:val="000000"/>
        </w:rPr>
        <w:t xml:space="preserve"> </w:t>
      </w:r>
      <w:r>
        <w:rPr>
          <w:iCs/>
          <w:color w:val="000000"/>
        </w:rPr>
        <w:br/>
      </w:r>
      <w:r>
        <w:rPr>
          <w:iCs/>
          <w:color w:val="000000"/>
        </w:rPr>
        <w:br/>
      </w:r>
      <w:r w:rsidRPr="00460FC2">
        <w:rPr>
          <w:iCs/>
          <w:color w:val="000000"/>
        </w:rPr>
        <w:t xml:space="preserve">As a data subject, each employee has a number of rights (outlined in the Privacy Notice). </w:t>
      </w:r>
      <w:r>
        <w:rPr>
          <w:iCs/>
          <w:color w:val="000000"/>
        </w:rPr>
        <w:br/>
      </w:r>
      <w:r w:rsidRPr="00460FC2">
        <w:rPr>
          <w:iCs/>
          <w:color w:val="000000"/>
        </w:rPr>
        <w:t>If you would like to exercise any of these rights, please contact the Diocesan Data Protection Officer</w:t>
      </w:r>
      <w:r>
        <w:rPr>
          <w:iCs/>
          <w:color w:val="000000"/>
        </w:rPr>
        <w:t>.</w:t>
      </w:r>
      <w:r w:rsidRPr="00460FC2">
        <w:rPr>
          <w:iCs/>
          <w:color w:val="000000"/>
        </w:rPr>
        <w:t xml:space="preserve"> </w:t>
      </w:r>
    </w:p>
    <w:p w14:paraId="76ADE0C1" w14:textId="77777777" w:rsidR="00B476C8" w:rsidRPr="00756FA9" w:rsidRDefault="00B476C8">
      <w:pPr>
        <w:pStyle w:val="BodyText"/>
        <w:spacing w:before="40" w:line="276" w:lineRule="auto"/>
        <w:ind w:left="198" w:right="172"/>
      </w:pPr>
    </w:p>
    <w:p w14:paraId="76ADE0C2" w14:textId="77777777" w:rsidR="00A76C7C" w:rsidRPr="00756FA9" w:rsidRDefault="00A76C7C">
      <w:pPr>
        <w:pStyle w:val="BodyText"/>
        <w:rPr>
          <w:sz w:val="24"/>
        </w:rPr>
      </w:pPr>
    </w:p>
    <w:p w14:paraId="76ADE0C3" w14:textId="77777777" w:rsidR="00A76C7C" w:rsidRPr="00756FA9" w:rsidRDefault="00A76C7C">
      <w:pPr>
        <w:pStyle w:val="BodyText"/>
        <w:spacing w:before="4"/>
        <w:rPr>
          <w:sz w:val="26"/>
        </w:rPr>
      </w:pPr>
    </w:p>
    <w:p w14:paraId="76ADE0C4" w14:textId="77777777" w:rsidR="00A76C7C" w:rsidRPr="00756FA9" w:rsidRDefault="009635E4">
      <w:pPr>
        <w:pStyle w:val="Heading2"/>
      </w:pPr>
      <w:r w:rsidRPr="00756FA9">
        <w:t>DBF and other related policies</w:t>
      </w:r>
    </w:p>
    <w:p w14:paraId="76ADE0C5" w14:textId="77777777" w:rsidR="00A76C7C" w:rsidRPr="00756FA9" w:rsidRDefault="009635E4">
      <w:pPr>
        <w:pStyle w:val="BodyText"/>
        <w:spacing w:before="40" w:line="278" w:lineRule="auto"/>
        <w:ind w:left="198" w:right="2776"/>
      </w:pPr>
      <w:r w:rsidRPr="00756FA9">
        <w:t>Diocese of Bristol Safeguarding Complaints Policy and Procedure DBF Speaking Out Policy</w:t>
      </w:r>
    </w:p>
    <w:p w14:paraId="76ADE0C6" w14:textId="77777777" w:rsidR="00A76C7C" w:rsidRPr="00756FA9" w:rsidRDefault="009635E4">
      <w:pPr>
        <w:pStyle w:val="BodyText"/>
        <w:spacing w:line="250" w:lineRule="exact"/>
        <w:ind w:left="198"/>
      </w:pPr>
      <w:r w:rsidRPr="00756FA9">
        <w:t>DBF Disciplinary Policy</w:t>
      </w:r>
    </w:p>
    <w:p w14:paraId="76ADE0C7" w14:textId="77777777" w:rsidR="00A76C7C" w:rsidRPr="00756FA9" w:rsidRDefault="009635E4">
      <w:pPr>
        <w:pStyle w:val="BodyText"/>
        <w:spacing w:before="37"/>
        <w:ind w:left="198"/>
      </w:pPr>
      <w:r w:rsidRPr="00756FA9">
        <w:t>Template Speaking Out Policy for parishes</w:t>
      </w:r>
    </w:p>
    <w:sectPr w:rsidR="00A76C7C" w:rsidRPr="00756FA9">
      <w:pgSz w:w="11910" w:h="16840"/>
      <w:pgMar w:top="1320" w:right="1300" w:bottom="640" w:left="1220" w:header="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DE0CC" w14:textId="77777777" w:rsidR="00844EE2" w:rsidRDefault="009635E4">
      <w:r>
        <w:separator/>
      </w:r>
    </w:p>
  </w:endnote>
  <w:endnote w:type="continuationSeparator" w:id="0">
    <w:p w14:paraId="76ADE0CD" w14:textId="77777777" w:rsidR="00844EE2" w:rsidRDefault="0096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E0CE" w14:textId="77777777" w:rsidR="008F06F4" w:rsidRPr="008F06F4" w:rsidRDefault="008F06F4" w:rsidP="008F06F4">
    <w:pPr>
      <w:tabs>
        <w:tab w:val="right" w:pos="8939"/>
      </w:tabs>
      <w:spacing w:before="97"/>
      <w:ind w:left="198"/>
      <w:rPr>
        <w:rFonts w:asciiTheme="minorHAnsi" w:hAnsiTheme="minorHAnsi"/>
        <w:sz w:val="20"/>
      </w:rPr>
    </w:pPr>
    <w:r w:rsidRPr="008F06F4">
      <w:rPr>
        <w:rFonts w:asciiTheme="minorHAnsi" w:hAnsiTheme="minorHAnsi"/>
        <w:color w:val="404040"/>
        <w:w w:val="122"/>
        <w:sz w:val="18"/>
      </w:rPr>
      <w:t>D</w:t>
    </w:r>
    <w:r w:rsidRPr="008F06F4">
      <w:rPr>
        <w:rFonts w:asciiTheme="minorHAnsi" w:hAnsiTheme="minorHAnsi"/>
        <w:color w:val="404040"/>
        <w:w w:val="76"/>
        <w:sz w:val="18"/>
      </w:rPr>
      <w:t>i</w:t>
    </w:r>
    <w:r w:rsidRPr="008F06F4">
      <w:rPr>
        <w:rFonts w:asciiTheme="minorHAnsi" w:hAnsiTheme="minorHAnsi"/>
        <w:color w:val="404040"/>
        <w:w w:val="102"/>
        <w:sz w:val="18"/>
      </w:rPr>
      <w:t>o</w:t>
    </w:r>
    <w:r w:rsidRPr="008F06F4">
      <w:rPr>
        <w:rFonts w:asciiTheme="minorHAnsi" w:hAnsiTheme="minorHAnsi"/>
        <w:color w:val="404040"/>
        <w:w w:val="90"/>
        <w:sz w:val="18"/>
      </w:rPr>
      <w:t>ces</w:t>
    </w:r>
    <w:r w:rsidRPr="008F06F4">
      <w:rPr>
        <w:rFonts w:asciiTheme="minorHAnsi" w:hAnsiTheme="minorHAnsi"/>
        <w:color w:val="404040"/>
        <w:w w:val="86"/>
        <w:sz w:val="18"/>
      </w:rPr>
      <w:t>an</w:t>
    </w:r>
    <w:r w:rsidRPr="008F06F4">
      <w:rPr>
        <w:rFonts w:asciiTheme="minorHAnsi" w:hAnsiTheme="minorHAnsi"/>
        <w:color w:val="404040"/>
        <w:sz w:val="18"/>
      </w:rPr>
      <w:t xml:space="preserve"> </w:t>
    </w:r>
    <w:r w:rsidRPr="008F06F4">
      <w:rPr>
        <w:rFonts w:asciiTheme="minorHAnsi" w:hAnsiTheme="minorHAnsi"/>
        <w:color w:val="404040"/>
        <w:w w:val="122"/>
        <w:sz w:val="18"/>
      </w:rPr>
      <w:t>O</w:t>
    </w:r>
    <w:r w:rsidRPr="008F06F4">
      <w:rPr>
        <w:rFonts w:asciiTheme="minorHAnsi" w:hAnsiTheme="minorHAnsi"/>
        <w:color w:val="404040"/>
        <w:w w:val="67"/>
        <w:sz w:val="18"/>
      </w:rPr>
      <w:t>ff</w:t>
    </w:r>
    <w:r w:rsidRPr="008F06F4">
      <w:rPr>
        <w:rFonts w:asciiTheme="minorHAnsi" w:hAnsiTheme="minorHAnsi"/>
        <w:color w:val="404040"/>
        <w:w w:val="76"/>
        <w:sz w:val="18"/>
      </w:rPr>
      <w:t>i</w:t>
    </w:r>
    <w:r w:rsidRPr="008F06F4">
      <w:rPr>
        <w:rFonts w:asciiTheme="minorHAnsi" w:hAnsiTheme="minorHAnsi"/>
        <w:color w:val="404040"/>
        <w:w w:val="80"/>
        <w:sz w:val="18"/>
      </w:rPr>
      <w:t>ce,</w:t>
    </w:r>
    <w:r w:rsidRPr="008F06F4">
      <w:rPr>
        <w:rFonts w:asciiTheme="minorHAnsi" w:hAnsiTheme="minorHAnsi"/>
        <w:color w:val="404040"/>
        <w:sz w:val="18"/>
      </w:rPr>
      <w:t xml:space="preserve"> </w:t>
    </w:r>
    <w:r w:rsidRPr="008F06F4">
      <w:rPr>
        <w:rFonts w:asciiTheme="minorHAnsi" w:hAnsiTheme="minorHAnsi"/>
        <w:color w:val="404040"/>
        <w:w w:val="89"/>
        <w:sz w:val="18"/>
      </w:rPr>
      <w:t>F</w:t>
    </w:r>
    <w:r w:rsidRPr="008F06F4">
      <w:rPr>
        <w:rFonts w:asciiTheme="minorHAnsi" w:hAnsiTheme="minorHAnsi"/>
        <w:color w:val="404040"/>
        <w:w w:val="76"/>
        <w:sz w:val="18"/>
      </w:rPr>
      <w:t>i</w:t>
    </w:r>
    <w:r w:rsidRPr="008F06F4">
      <w:rPr>
        <w:rFonts w:asciiTheme="minorHAnsi" w:hAnsiTheme="minorHAnsi"/>
        <w:color w:val="404040"/>
        <w:w w:val="101"/>
        <w:sz w:val="18"/>
      </w:rPr>
      <w:t>r</w:t>
    </w:r>
    <w:r w:rsidRPr="008F06F4">
      <w:rPr>
        <w:rFonts w:asciiTheme="minorHAnsi" w:hAnsiTheme="minorHAnsi"/>
        <w:color w:val="404040"/>
        <w:w w:val="89"/>
        <w:sz w:val="18"/>
      </w:rPr>
      <w:t>st</w:t>
    </w:r>
    <w:r w:rsidRPr="008F06F4">
      <w:rPr>
        <w:rFonts w:asciiTheme="minorHAnsi" w:hAnsiTheme="minorHAnsi"/>
        <w:color w:val="404040"/>
        <w:sz w:val="18"/>
      </w:rPr>
      <w:t xml:space="preserve"> </w:t>
    </w:r>
    <w:r w:rsidRPr="008F06F4">
      <w:rPr>
        <w:rFonts w:asciiTheme="minorHAnsi" w:hAnsiTheme="minorHAnsi"/>
        <w:color w:val="404040"/>
        <w:w w:val="83"/>
        <w:sz w:val="18"/>
      </w:rPr>
      <w:t>Fl</w:t>
    </w:r>
    <w:r w:rsidRPr="008F06F4">
      <w:rPr>
        <w:rFonts w:asciiTheme="minorHAnsi" w:hAnsiTheme="minorHAnsi"/>
        <w:color w:val="404040"/>
        <w:w w:val="102"/>
        <w:sz w:val="18"/>
      </w:rPr>
      <w:t>oo</w:t>
    </w:r>
    <w:r w:rsidRPr="008F06F4">
      <w:rPr>
        <w:rFonts w:asciiTheme="minorHAnsi" w:hAnsiTheme="minorHAnsi"/>
        <w:color w:val="404040"/>
        <w:w w:val="101"/>
        <w:sz w:val="18"/>
      </w:rPr>
      <w:t>r</w:t>
    </w:r>
    <w:r w:rsidRPr="008F06F4">
      <w:rPr>
        <w:rFonts w:asciiTheme="minorHAnsi" w:hAnsiTheme="minorHAnsi"/>
        <w:color w:val="404040"/>
        <w:w w:val="59"/>
        <w:sz w:val="18"/>
      </w:rPr>
      <w:t>,</w:t>
    </w:r>
    <w:r w:rsidRPr="008F06F4">
      <w:rPr>
        <w:rFonts w:asciiTheme="minorHAnsi" w:hAnsiTheme="minorHAnsi"/>
        <w:color w:val="404040"/>
        <w:sz w:val="18"/>
      </w:rPr>
      <w:t xml:space="preserve"> </w:t>
    </w:r>
    <w:r w:rsidRPr="008F06F4">
      <w:rPr>
        <w:rFonts w:asciiTheme="minorHAnsi" w:hAnsiTheme="minorHAnsi"/>
        <w:color w:val="404040"/>
        <w:w w:val="111"/>
        <w:sz w:val="18"/>
      </w:rPr>
      <w:t>H</w:t>
    </w:r>
    <w:r w:rsidRPr="008F06F4">
      <w:rPr>
        <w:rFonts w:asciiTheme="minorHAnsi" w:hAnsiTheme="minorHAnsi"/>
        <w:color w:val="404040"/>
        <w:w w:val="76"/>
        <w:sz w:val="18"/>
      </w:rPr>
      <w:t>i</w:t>
    </w:r>
    <w:r w:rsidRPr="008F06F4">
      <w:rPr>
        <w:rFonts w:asciiTheme="minorHAnsi" w:hAnsiTheme="minorHAnsi"/>
        <w:color w:val="404040"/>
        <w:w w:val="74"/>
        <w:sz w:val="18"/>
      </w:rPr>
      <w:t>ll</w:t>
    </w:r>
    <w:r w:rsidRPr="008F06F4">
      <w:rPr>
        <w:rFonts w:asciiTheme="minorHAnsi" w:hAnsiTheme="minorHAnsi"/>
        <w:color w:val="404040"/>
        <w:w w:val="95"/>
        <w:sz w:val="18"/>
      </w:rPr>
      <w:t>s</w:t>
    </w:r>
    <w:r w:rsidRPr="008F06F4">
      <w:rPr>
        <w:rFonts w:asciiTheme="minorHAnsi" w:hAnsiTheme="minorHAnsi"/>
        <w:color w:val="404040"/>
        <w:w w:val="76"/>
        <w:sz w:val="18"/>
      </w:rPr>
      <w:t>i</w:t>
    </w:r>
    <w:r w:rsidRPr="008F06F4">
      <w:rPr>
        <w:rFonts w:asciiTheme="minorHAnsi" w:hAnsiTheme="minorHAnsi"/>
        <w:color w:val="404040"/>
        <w:w w:val="91"/>
        <w:sz w:val="18"/>
      </w:rPr>
      <w:t>d</w:t>
    </w:r>
    <w:r w:rsidRPr="008F06F4">
      <w:rPr>
        <w:rFonts w:asciiTheme="minorHAnsi" w:hAnsiTheme="minorHAnsi"/>
        <w:color w:val="404040"/>
        <w:w w:val="87"/>
        <w:sz w:val="18"/>
      </w:rPr>
      <w:t>e</w:t>
    </w:r>
    <w:r w:rsidRPr="008F06F4">
      <w:rPr>
        <w:rFonts w:asciiTheme="minorHAnsi" w:hAnsiTheme="minorHAnsi"/>
        <w:color w:val="404040"/>
        <w:sz w:val="18"/>
      </w:rPr>
      <w:t xml:space="preserve"> </w:t>
    </w:r>
    <w:r w:rsidRPr="008F06F4">
      <w:rPr>
        <w:rFonts w:asciiTheme="minorHAnsi" w:hAnsiTheme="minorHAnsi"/>
        <w:color w:val="404040"/>
        <w:w w:val="111"/>
        <w:sz w:val="18"/>
      </w:rPr>
      <w:t>H</w:t>
    </w:r>
    <w:r w:rsidRPr="008F06F4">
      <w:rPr>
        <w:rFonts w:asciiTheme="minorHAnsi" w:hAnsiTheme="minorHAnsi"/>
        <w:color w:val="404040"/>
        <w:w w:val="102"/>
        <w:sz w:val="18"/>
      </w:rPr>
      <w:t>o</w:t>
    </w:r>
    <w:r w:rsidRPr="008F06F4">
      <w:rPr>
        <w:rFonts w:asciiTheme="minorHAnsi" w:hAnsiTheme="minorHAnsi"/>
        <w:color w:val="404040"/>
        <w:w w:val="91"/>
        <w:sz w:val="18"/>
      </w:rPr>
      <w:t>u</w:t>
    </w:r>
    <w:r w:rsidRPr="008F06F4">
      <w:rPr>
        <w:rFonts w:asciiTheme="minorHAnsi" w:hAnsiTheme="minorHAnsi"/>
        <w:color w:val="404040"/>
        <w:w w:val="82"/>
        <w:sz w:val="18"/>
      </w:rPr>
      <w:t>se,</w:t>
    </w:r>
    <w:r w:rsidRPr="008F06F4">
      <w:rPr>
        <w:rFonts w:asciiTheme="minorHAnsi" w:hAnsiTheme="minorHAnsi"/>
        <w:color w:val="404040"/>
        <w:sz w:val="18"/>
      </w:rPr>
      <w:t xml:space="preserve"> </w:t>
    </w:r>
    <w:r w:rsidRPr="008F06F4">
      <w:rPr>
        <w:rFonts w:asciiTheme="minorHAnsi" w:hAnsiTheme="minorHAnsi"/>
        <w:color w:val="404040"/>
        <w:w w:val="95"/>
        <w:sz w:val="18"/>
      </w:rPr>
      <w:t>1500</w:t>
    </w:r>
    <w:r w:rsidRPr="008F06F4">
      <w:rPr>
        <w:rFonts w:asciiTheme="minorHAnsi" w:hAnsiTheme="minorHAnsi"/>
        <w:color w:val="404040"/>
        <w:sz w:val="18"/>
      </w:rPr>
      <w:t xml:space="preserve"> </w:t>
    </w:r>
    <w:r w:rsidRPr="008F06F4">
      <w:rPr>
        <w:rFonts w:asciiTheme="minorHAnsi" w:hAnsiTheme="minorHAnsi"/>
        <w:color w:val="404040"/>
        <w:w w:val="91"/>
        <w:sz w:val="18"/>
      </w:rPr>
      <w:t>Park</w:t>
    </w:r>
    <w:r w:rsidRPr="008F06F4">
      <w:rPr>
        <w:rFonts w:asciiTheme="minorHAnsi" w:hAnsiTheme="minorHAnsi"/>
        <w:color w:val="404040"/>
        <w:w w:val="89"/>
        <w:sz w:val="18"/>
      </w:rPr>
      <w:t>way</w:t>
    </w:r>
    <w:r w:rsidRPr="008F06F4">
      <w:rPr>
        <w:rFonts w:asciiTheme="minorHAnsi" w:hAnsiTheme="minorHAnsi"/>
        <w:color w:val="404040"/>
        <w:sz w:val="18"/>
      </w:rPr>
      <w:t xml:space="preserve"> </w:t>
    </w:r>
    <w:r w:rsidRPr="008F06F4">
      <w:rPr>
        <w:rFonts w:asciiTheme="minorHAnsi" w:hAnsiTheme="minorHAnsi"/>
        <w:color w:val="404040"/>
        <w:w w:val="122"/>
        <w:sz w:val="18"/>
      </w:rPr>
      <w:t>N</w:t>
    </w:r>
    <w:r w:rsidRPr="008F06F4">
      <w:rPr>
        <w:rFonts w:asciiTheme="minorHAnsi" w:hAnsiTheme="minorHAnsi"/>
        <w:color w:val="404040"/>
        <w:w w:val="102"/>
        <w:sz w:val="18"/>
      </w:rPr>
      <w:t>o</w:t>
    </w:r>
    <w:r w:rsidRPr="008F06F4">
      <w:rPr>
        <w:rFonts w:asciiTheme="minorHAnsi" w:hAnsiTheme="minorHAnsi"/>
        <w:color w:val="404040"/>
        <w:w w:val="101"/>
        <w:sz w:val="18"/>
      </w:rPr>
      <w:t>r</w:t>
    </w:r>
    <w:r w:rsidRPr="008F06F4">
      <w:rPr>
        <w:rFonts w:asciiTheme="minorHAnsi" w:hAnsiTheme="minorHAnsi"/>
        <w:color w:val="404040"/>
        <w:w w:val="88"/>
        <w:sz w:val="18"/>
      </w:rPr>
      <w:t>th</w:t>
    </w:r>
    <w:r w:rsidRPr="008F06F4">
      <w:rPr>
        <w:rFonts w:asciiTheme="minorHAnsi" w:hAnsiTheme="minorHAnsi"/>
        <w:color w:val="404040"/>
        <w:w w:val="59"/>
        <w:sz w:val="18"/>
      </w:rPr>
      <w:t>,</w:t>
    </w:r>
    <w:r w:rsidRPr="008F06F4">
      <w:rPr>
        <w:rFonts w:asciiTheme="minorHAnsi" w:hAnsiTheme="minorHAnsi"/>
        <w:color w:val="404040"/>
        <w:sz w:val="18"/>
      </w:rPr>
      <w:t xml:space="preserve"> </w:t>
    </w:r>
    <w:r w:rsidRPr="008F06F4">
      <w:rPr>
        <w:rFonts w:asciiTheme="minorHAnsi" w:hAnsiTheme="minorHAnsi"/>
        <w:color w:val="404040"/>
        <w:w w:val="95"/>
        <w:sz w:val="18"/>
      </w:rPr>
      <w:t>S</w:t>
    </w:r>
    <w:r w:rsidRPr="008F06F4">
      <w:rPr>
        <w:rFonts w:asciiTheme="minorHAnsi" w:hAnsiTheme="minorHAnsi"/>
        <w:color w:val="404040"/>
        <w:w w:val="94"/>
        <w:sz w:val="18"/>
      </w:rPr>
      <w:t>to</w:t>
    </w:r>
    <w:r w:rsidRPr="008F06F4">
      <w:rPr>
        <w:rFonts w:asciiTheme="minorHAnsi" w:hAnsiTheme="minorHAnsi"/>
        <w:color w:val="404040"/>
        <w:w w:val="91"/>
        <w:sz w:val="18"/>
      </w:rPr>
      <w:t>ke</w:t>
    </w:r>
    <w:r w:rsidRPr="008F06F4">
      <w:rPr>
        <w:rFonts w:asciiTheme="minorHAnsi" w:hAnsiTheme="minorHAnsi"/>
        <w:color w:val="404040"/>
        <w:sz w:val="18"/>
      </w:rPr>
      <w:t xml:space="preserve"> </w:t>
    </w:r>
    <w:r w:rsidRPr="008F06F4">
      <w:rPr>
        <w:rFonts w:asciiTheme="minorHAnsi" w:hAnsiTheme="minorHAnsi"/>
        <w:color w:val="404040"/>
        <w:w w:val="109"/>
        <w:sz w:val="18"/>
      </w:rPr>
      <w:t>G</w:t>
    </w:r>
    <w:r w:rsidRPr="008F06F4">
      <w:rPr>
        <w:rFonts w:asciiTheme="minorHAnsi" w:hAnsiTheme="minorHAnsi"/>
        <w:color w:val="404040"/>
        <w:w w:val="76"/>
        <w:sz w:val="18"/>
      </w:rPr>
      <w:t>i</w:t>
    </w:r>
    <w:r w:rsidRPr="008F06F4">
      <w:rPr>
        <w:rFonts w:asciiTheme="minorHAnsi" w:hAnsiTheme="minorHAnsi"/>
        <w:color w:val="404040"/>
        <w:w w:val="67"/>
        <w:sz w:val="18"/>
      </w:rPr>
      <w:t>ff</w:t>
    </w:r>
    <w:r w:rsidRPr="008F06F4">
      <w:rPr>
        <w:rFonts w:asciiTheme="minorHAnsi" w:hAnsiTheme="minorHAnsi"/>
        <w:color w:val="404040"/>
        <w:w w:val="102"/>
        <w:sz w:val="18"/>
      </w:rPr>
      <w:t>o</w:t>
    </w:r>
    <w:r w:rsidRPr="008F06F4">
      <w:rPr>
        <w:rFonts w:asciiTheme="minorHAnsi" w:hAnsiTheme="minorHAnsi"/>
        <w:color w:val="404040"/>
        <w:w w:val="101"/>
        <w:sz w:val="18"/>
      </w:rPr>
      <w:t>r</w:t>
    </w:r>
    <w:r w:rsidRPr="008F06F4">
      <w:rPr>
        <w:rFonts w:asciiTheme="minorHAnsi" w:hAnsiTheme="minorHAnsi"/>
        <w:color w:val="404040"/>
        <w:w w:val="91"/>
        <w:sz w:val="18"/>
      </w:rPr>
      <w:t>d</w:t>
    </w:r>
    <w:r w:rsidRPr="008F06F4">
      <w:rPr>
        <w:rFonts w:asciiTheme="minorHAnsi" w:hAnsiTheme="minorHAnsi"/>
        <w:color w:val="404040"/>
        <w:w w:val="59"/>
        <w:sz w:val="18"/>
      </w:rPr>
      <w:t>,</w:t>
    </w:r>
    <w:r w:rsidRPr="008F06F4">
      <w:rPr>
        <w:rFonts w:asciiTheme="minorHAnsi" w:hAnsiTheme="minorHAnsi"/>
        <w:color w:val="404040"/>
        <w:sz w:val="18"/>
      </w:rPr>
      <w:t xml:space="preserve"> Br</w:t>
    </w:r>
    <w:r w:rsidRPr="008F06F4">
      <w:rPr>
        <w:rFonts w:asciiTheme="minorHAnsi" w:hAnsiTheme="minorHAnsi"/>
        <w:color w:val="404040"/>
        <w:w w:val="76"/>
        <w:sz w:val="18"/>
      </w:rPr>
      <w:t>i</w:t>
    </w:r>
    <w:r w:rsidRPr="008F06F4">
      <w:rPr>
        <w:rFonts w:asciiTheme="minorHAnsi" w:hAnsiTheme="minorHAnsi"/>
        <w:color w:val="404040"/>
        <w:w w:val="94"/>
        <w:sz w:val="18"/>
      </w:rPr>
      <w:t>sto</w:t>
    </w:r>
    <w:r w:rsidRPr="008F06F4">
      <w:rPr>
        <w:rFonts w:asciiTheme="minorHAnsi" w:hAnsiTheme="minorHAnsi"/>
        <w:color w:val="404040"/>
        <w:w w:val="74"/>
        <w:sz w:val="18"/>
      </w:rPr>
      <w:t>l</w:t>
    </w:r>
    <w:r w:rsidRPr="008F06F4">
      <w:rPr>
        <w:rFonts w:asciiTheme="minorHAnsi" w:hAnsiTheme="minorHAnsi"/>
        <w:color w:val="404040"/>
        <w:sz w:val="18"/>
      </w:rPr>
      <w:t xml:space="preserve"> </w:t>
    </w:r>
    <w:r w:rsidRPr="008F06F4">
      <w:rPr>
        <w:rFonts w:asciiTheme="minorHAnsi" w:hAnsiTheme="minorHAnsi"/>
        <w:color w:val="404040"/>
        <w:w w:val="97"/>
        <w:sz w:val="18"/>
      </w:rPr>
      <w:t>BS</w:t>
    </w:r>
    <w:r w:rsidRPr="008F06F4">
      <w:rPr>
        <w:rFonts w:asciiTheme="minorHAnsi" w:hAnsiTheme="minorHAnsi"/>
        <w:color w:val="404040"/>
        <w:w w:val="95"/>
        <w:sz w:val="18"/>
      </w:rPr>
      <w:t>34</w:t>
    </w:r>
    <w:r w:rsidRPr="008F06F4">
      <w:rPr>
        <w:rFonts w:asciiTheme="minorHAnsi" w:hAnsiTheme="minorHAnsi"/>
        <w:color w:val="404040"/>
        <w:sz w:val="18"/>
      </w:rPr>
      <w:t xml:space="preserve"> </w:t>
    </w:r>
    <w:r w:rsidRPr="008F06F4">
      <w:rPr>
        <w:rFonts w:asciiTheme="minorHAnsi" w:hAnsiTheme="minorHAnsi"/>
        <w:color w:val="404040"/>
        <w:w w:val="95"/>
        <w:sz w:val="18"/>
      </w:rPr>
      <w:t>8</w:t>
    </w:r>
    <w:r w:rsidRPr="008F06F4">
      <w:rPr>
        <w:rFonts w:asciiTheme="minorHAnsi" w:hAnsiTheme="minorHAnsi"/>
        <w:color w:val="404040"/>
        <w:w w:val="105"/>
        <w:sz w:val="18"/>
      </w:rPr>
      <w:t>Y</w:t>
    </w:r>
    <w:r w:rsidRPr="008F06F4">
      <w:rPr>
        <w:rFonts w:asciiTheme="minorHAnsi" w:hAnsiTheme="minorHAnsi"/>
        <w:color w:val="404040"/>
        <w:w w:val="109"/>
        <w:sz w:val="18"/>
      </w:rPr>
      <w:t>U</w:t>
    </w:r>
    <w:r w:rsidRPr="008F06F4">
      <w:rPr>
        <w:rFonts w:asciiTheme="minorHAnsi" w:hAnsiTheme="minorHAnsi"/>
        <w:color w:val="404040"/>
        <w:w w:val="92"/>
        <w:sz w:val="18"/>
      </w:rPr>
      <w:t xml:space="preserve"> </w:t>
    </w:r>
    <w:r w:rsidRPr="008F06F4">
      <w:rPr>
        <w:rFonts w:asciiTheme="minorHAnsi" w:hAnsiTheme="minorHAnsi"/>
        <w:color w:val="404040"/>
        <w:sz w:val="18"/>
      </w:rPr>
      <w:tab/>
    </w:r>
    <w:r w:rsidRPr="008F06F4">
      <w:rPr>
        <w:rFonts w:asciiTheme="minorHAnsi" w:hAnsiTheme="minorHAnsi"/>
        <w:color w:val="404040"/>
        <w:w w:val="94"/>
        <w:sz w:val="20"/>
      </w:rPr>
      <w:t>1</w:t>
    </w:r>
  </w:p>
  <w:p w14:paraId="76ADE0CF" w14:textId="77777777" w:rsidR="008F06F4" w:rsidRPr="008F06F4" w:rsidRDefault="008F06F4" w:rsidP="008F06F4">
    <w:pPr>
      <w:spacing w:before="57"/>
      <w:ind w:left="198"/>
      <w:rPr>
        <w:rFonts w:asciiTheme="minorHAnsi" w:hAnsiTheme="minorHAnsi"/>
      </w:rPr>
    </w:pPr>
    <w:r w:rsidRPr="008F06F4">
      <w:rPr>
        <w:rFonts w:asciiTheme="minorHAnsi" w:hAnsiTheme="minorHAnsi"/>
        <w:color w:val="404040"/>
        <w:w w:val="95"/>
        <w:sz w:val="18"/>
      </w:rPr>
      <w:t xml:space="preserve">0117 906 0100 </w:t>
    </w:r>
    <w:r w:rsidRPr="008F06F4">
      <w:rPr>
        <w:rFonts w:asciiTheme="minorHAnsi" w:hAnsiTheme="minorHAnsi"/>
        <w:color w:val="404040"/>
        <w:w w:val="95"/>
      </w:rPr>
      <w:t xml:space="preserve">| </w:t>
    </w:r>
    <w:hyperlink r:id="rId1">
      <w:r w:rsidRPr="008F06F4">
        <w:rPr>
          <w:rFonts w:asciiTheme="minorHAnsi" w:hAnsiTheme="minorHAnsi"/>
          <w:color w:val="404040"/>
          <w:w w:val="95"/>
          <w:sz w:val="18"/>
          <w:u w:val="single" w:color="404040"/>
        </w:rPr>
        <w:t>www.bristol.anglican.org</w:t>
      </w:r>
      <w:r w:rsidRPr="008F06F4">
        <w:rPr>
          <w:rFonts w:asciiTheme="minorHAnsi" w:hAnsiTheme="minorHAnsi"/>
          <w:color w:val="404040"/>
          <w:w w:val="95"/>
          <w:sz w:val="18"/>
        </w:rPr>
        <w:t xml:space="preserve"> </w:t>
      </w:r>
    </w:hyperlink>
    <w:r w:rsidRPr="008F06F4">
      <w:rPr>
        <w:rFonts w:asciiTheme="minorHAnsi" w:hAnsiTheme="minorHAnsi"/>
        <w:color w:val="404040"/>
        <w:w w:val="95"/>
      </w:rPr>
      <w:t xml:space="preserve">| </w:t>
    </w:r>
    <w:r w:rsidRPr="008F06F4">
      <w:rPr>
        <w:rFonts w:asciiTheme="minorHAnsi" w:hAnsiTheme="minorHAnsi"/>
        <w:noProof/>
        <w:color w:val="404040"/>
        <w:position w:val="-3"/>
        <w:lang w:bidi="ar-SA"/>
      </w:rPr>
      <w:drawing>
        <wp:inline distT="0" distB="0" distL="0" distR="0" wp14:anchorId="76ADE0D3" wp14:editId="76ADE0D4">
          <wp:extent cx="503555" cy="124460"/>
          <wp:effectExtent l="0" t="0" r="0" b="0"/>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503555" cy="124460"/>
                  </a:xfrm>
                  <a:prstGeom prst="rect">
                    <a:avLst/>
                  </a:prstGeom>
                </pic:spPr>
              </pic:pic>
            </a:graphicData>
          </a:graphic>
        </wp:inline>
      </w:drawing>
    </w:r>
    <w:r w:rsidRPr="008F06F4">
      <w:rPr>
        <w:rFonts w:asciiTheme="minorHAnsi" w:hAnsiTheme="minorHAnsi"/>
      </w:rPr>
      <w:br/>
    </w:r>
    <w:r w:rsidRPr="008F06F4">
      <w:rPr>
        <w:rFonts w:asciiTheme="minorHAnsi" w:hAnsiTheme="minorHAnsi"/>
        <w:color w:val="404040"/>
        <w:sz w:val="16"/>
      </w:rPr>
      <w:t xml:space="preserve">The Bristol Diocesan Board of Finance Limited </w:t>
    </w:r>
    <w:r w:rsidRPr="008F06F4">
      <w:rPr>
        <w:rFonts w:asciiTheme="minorHAnsi" w:hAnsiTheme="minorHAnsi"/>
        <w:color w:val="404040"/>
      </w:rPr>
      <w:t xml:space="preserve">| </w:t>
    </w:r>
    <w:r w:rsidRPr="008F06F4">
      <w:rPr>
        <w:rFonts w:asciiTheme="minorHAnsi" w:hAnsiTheme="minorHAnsi"/>
        <w:color w:val="404040"/>
        <w:sz w:val="16"/>
      </w:rPr>
      <w:t>Reg. in England: Charity 248502, Company 156243</w:t>
    </w:r>
  </w:p>
  <w:p w14:paraId="76ADE0D0" w14:textId="77777777" w:rsidR="008F06F4" w:rsidRDefault="008F06F4">
    <w:pPr>
      <w:pStyle w:val="Footer"/>
    </w:pPr>
  </w:p>
  <w:p w14:paraId="76ADE0D1" w14:textId="77777777" w:rsidR="008F06F4" w:rsidRDefault="008F0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E0D2" w14:textId="77777777" w:rsidR="00A76C7C" w:rsidRDefault="00982404">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6ADE0D5" wp14:editId="76ADE0D6">
              <wp:simplePos x="0" y="0"/>
              <wp:positionH relativeFrom="page">
                <wp:posOffset>6571615</wp:posOffset>
              </wp:positionH>
              <wp:positionV relativeFrom="page">
                <wp:posOffset>10262870</wp:posOffset>
              </wp:positionV>
              <wp:extent cx="114300" cy="172085"/>
              <wp:effectExtent l="0" t="4445" r="63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DE0D7" w14:textId="77777777" w:rsidR="00A76C7C" w:rsidRDefault="009635E4">
                          <w:pPr>
                            <w:spacing w:before="17"/>
                            <w:ind w:left="40"/>
                            <w:rPr>
                              <w:rFonts w:ascii="Trebuchet MS"/>
                              <w:sz w:val="20"/>
                            </w:rPr>
                          </w:pPr>
                          <w:r>
                            <w:fldChar w:fldCharType="begin"/>
                          </w:r>
                          <w:r>
                            <w:rPr>
                              <w:rFonts w:ascii="Trebuchet MS"/>
                              <w:color w:val="404040"/>
                              <w:w w:val="94"/>
                              <w:sz w:val="20"/>
                            </w:rPr>
                            <w:instrText xml:space="preserve"> PAGE </w:instrText>
                          </w:r>
                          <w:r>
                            <w:fldChar w:fldCharType="separate"/>
                          </w:r>
                          <w:r w:rsidR="00DC4BC1">
                            <w:rPr>
                              <w:rFonts w:ascii="Trebuchet MS"/>
                              <w:noProof/>
                              <w:color w:val="404040"/>
                              <w:w w:val="94"/>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DE0D5" id="_x0000_t202" coordsize="21600,21600" o:spt="202" path="m,l,21600r21600,l21600,xe">
              <v:stroke joinstyle="miter"/>
              <v:path gradientshapeok="t" o:connecttype="rect"/>
            </v:shapetype>
            <v:shape id="Text Box 1" o:spid="_x0000_s1026" type="#_x0000_t202" style="position:absolute;margin-left:517.45pt;margin-top:808.1pt;width:9pt;height:13.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" filled="f" stroked="f">
              <v:textbox inset="0,0,0,0">
                <w:txbxContent>
                  <w:p w14:paraId="76ADE0D7" w14:textId="77777777" w:rsidR="00A76C7C" w:rsidRDefault="009635E4">
                    <w:pPr>
                      <w:spacing w:before="17"/>
                      <w:ind w:left="40"/>
                      <w:rPr>
                        <w:rFonts w:ascii="Trebuchet MS"/>
                        <w:sz w:val="20"/>
                      </w:rPr>
                    </w:pPr>
                    <w:r>
                      <w:fldChar w:fldCharType="begin"/>
                    </w:r>
                    <w:r>
                      <w:rPr>
                        <w:rFonts w:ascii="Trebuchet MS"/>
                        <w:color w:val="404040"/>
                        <w:w w:val="94"/>
                        <w:sz w:val="20"/>
                      </w:rPr>
                      <w:instrText xml:space="preserve"> PAGE </w:instrText>
                    </w:r>
                    <w:r>
                      <w:fldChar w:fldCharType="separate"/>
                    </w:r>
                    <w:r w:rsidR="00DC4BC1">
                      <w:rPr>
                        <w:rFonts w:ascii="Trebuchet MS"/>
                        <w:noProof/>
                        <w:color w:val="404040"/>
                        <w:w w:val="94"/>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DE0CA" w14:textId="77777777" w:rsidR="00844EE2" w:rsidRDefault="009635E4">
      <w:r>
        <w:separator/>
      </w:r>
    </w:p>
  </w:footnote>
  <w:footnote w:type="continuationSeparator" w:id="0">
    <w:p w14:paraId="76ADE0CB" w14:textId="77777777" w:rsidR="00844EE2" w:rsidRDefault="00963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341"/>
    <w:multiLevelType w:val="hybridMultilevel"/>
    <w:tmpl w:val="71040D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32B391B"/>
    <w:multiLevelType w:val="hybridMultilevel"/>
    <w:tmpl w:val="1A8A71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A4813F7"/>
    <w:multiLevelType w:val="hybridMultilevel"/>
    <w:tmpl w:val="600C17A8"/>
    <w:lvl w:ilvl="0" w:tplc="04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AC1EFC"/>
    <w:multiLevelType w:val="hybridMultilevel"/>
    <w:tmpl w:val="1B46A5F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99866">
    <w:abstractNumId w:val="1"/>
  </w:num>
  <w:num w:numId="2" w16cid:durableId="1526672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4379572">
    <w:abstractNumId w:val="1"/>
  </w:num>
  <w:num w:numId="4" w16cid:durableId="1026642276">
    <w:abstractNumId w:val="0"/>
  </w:num>
  <w:num w:numId="5" w16cid:durableId="230507639">
    <w:abstractNumId w:val="2"/>
  </w:num>
  <w:num w:numId="6" w16cid:durableId="1084690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C7C"/>
    <w:rsid w:val="006525B9"/>
    <w:rsid w:val="00756FA9"/>
    <w:rsid w:val="007B2847"/>
    <w:rsid w:val="00844EE2"/>
    <w:rsid w:val="008F06F4"/>
    <w:rsid w:val="009106DA"/>
    <w:rsid w:val="009635E4"/>
    <w:rsid w:val="00982404"/>
    <w:rsid w:val="00A76C7C"/>
    <w:rsid w:val="00A93936"/>
    <w:rsid w:val="00B476C8"/>
    <w:rsid w:val="00D3011E"/>
    <w:rsid w:val="00DC4BC1"/>
    <w:rsid w:val="00DD3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ADE07E"/>
  <w15:docId w15:val="{857F407E-4897-4403-9273-13C49772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
      <w:ind w:left="198"/>
      <w:outlineLvl w:val="0"/>
    </w:pPr>
    <w:rPr>
      <w:rFonts w:ascii="Trebuchet MS" w:eastAsia="Trebuchet MS" w:hAnsi="Trebuchet MS" w:cs="Trebuchet MS"/>
      <w:sz w:val="32"/>
      <w:szCs w:val="32"/>
    </w:rPr>
  </w:style>
  <w:style w:type="paragraph" w:styleId="Heading2">
    <w:name w:val="heading 2"/>
    <w:basedOn w:val="Normal"/>
    <w:uiPriority w:val="1"/>
    <w:qFormat/>
    <w:pPr>
      <w:ind w:left="19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82404"/>
    <w:rPr>
      <w:rFonts w:ascii="Tahoma" w:hAnsi="Tahoma" w:cs="Tahoma"/>
      <w:sz w:val="16"/>
      <w:szCs w:val="16"/>
    </w:rPr>
  </w:style>
  <w:style w:type="character" w:customStyle="1" w:styleId="BalloonTextChar">
    <w:name w:val="Balloon Text Char"/>
    <w:basedOn w:val="DefaultParagraphFont"/>
    <w:link w:val="BalloonText"/>
    <w:uiPriority w:val="99"/>
    <w:semiHidden/>
    <w:rsid w:val="00982404"/>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8F06F4"/>
    <w:pPr>
      <w:tabs>
        <w:tab w:val="center" w:pos="4513"/>
        <w:tab w:val="right" w:pos="9026"/>
      </w:tabs>
    </w:pPr>
  </w:style>
  <w:style w:type="character" w:customStyle="1" w:styleId="HeaderChar">
    <w:name w:val="Header Char"/>
    <w:basedOn w:val="DefaultParagraphFont"/>
    <w:link w:val="Header"/>
    <w:uiPriority w:val="99"/>
    <w:rsid w:val="008F06F4"/>
    <w:rPr>
      <w:rFonts w:ascii="Arial" w:eastAsia="Arial" w:hAnsi="Arial" w:cs="Arial"/>
      <w:lang w:val="en-GB" w:eastAsia="en-GB" w:bidi="en-GB"/>
    </w:rPr>
  </w:style>
  <w:style w:type="paragraph" w:styleId="Footer">
    <w:name w:val="footer"/>
    <w:basedOn w:val="Normal"/>
    <w:link w:val="FooterChar"/>
    <w:uiPriority w:val="99"/>
    <w:unhideWhenUsed/>
    <w:rsid w:val="008F06F4"/>
    <w:pPr>
      <w:tabs>
        <w:tab w:val="center" w:pos="4513"/>
        <w:tab w:val="right" w:pos="9026"/>
      </w:tabs>
    </w:pPr>
  </w:style>
  <w:style w:type="character" w:customStyle="1" w:styleId="FooterChar">
    <w:name w:val="Footer Char"/>
    <w:basedOn w:val="DefaultParagraphFont"/>
    <w:link w:val="Footer"/>
    <w:uiPriority w:val="99"/>
    <w:rsid w:val="008F06F4"/>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2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aritycommission.gov.uk/publications/cc47.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bristol.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6" ma:contentTypeDescription="Create a new document." ma:contentTypeScope="" ma:versionID="946f11df3a68c3b66e25c9bfe43d2f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078f9cebd432a79edbdbd062723d5e1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72575a-29c0-4b59-8695-74da8277fef5}"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923b7b3-f35a-427c-99cf-695557634918">
      <UserInfo>
        <DisplayName>Denise Channing</DisplayName>
        <AccountId>72</AccountId>
        <AccountType/>
      </UserInfo>
    </SharedWithUsers>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7011FD06-CB5D-4AAD-825E-1925BE172BD1}">
  <ds:schemaRefs>
    <ds:schemaRef ds:uri="http://schemas.microsoft.com/sharepoint/v3/contenttype/forms"/>
  </ds:schemaRefs>
</ds:datastoreItem>
</file>

<file path=customXml/itemProps2.xml><?xml version="1.0" encoding="utf-8"?>
<ds:datastoreItem xmlns:ds="http://schemas.openxmlformats.org/officeDocument/2006/customXml" ds:itemID="{F8858863-88D0-4C2B-BB13-0E0C14318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DE93F-9EEB-4CFA-9D87-75F8B6C4FC3D}">
  <ds:schemaRefs>
    <ds:schemaRef ds:uri="http://schemas.microsoft.com/office/2006/metadata/properties"/>
    <ds:schemaRef ds:uri="http://schemas.microsoft.com/office/infopath/2007/PartnerControls"/>
    <ds:schemaRef ds:uri="2923b7b3-f35a-427c-99cf-695557634918"/>
    <ds:schemaRef ds:uri="a1cbbd71-76e6-4143-8eaa-1fa8cf0f08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oliverh</dc:creator>
  <cp:lastModifiedBy>Georgina Ross</cp:lastModifiedBy>
  <cp:revision>13</cp:revision>
  <cp:lastPrinted>2021-05-19T14:28:00Z</cp:lastPrinted>
  <dcterms:created xsi:type="dcterms:W3CDTF">2019-10-03T14:06:00Z</dcterms:created>
  <dcterms:modified xsi:type="dcterms:W3CDTF">2024-01-05T13:29:00Z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2017-02-01T00:00:00Z</vt:filetime>
  </property>
  <property fmtid="{D5CDD505-2E9C-101B-9397-08002B2CF9AE}" pid="3" name="Creator">
    <vt:lpwstr>Microsoft® Word 2010</vt:lpwstr>
  </property>
  <property fmtid="{D5CDD505-2E9C-101B-9397-08002B2CF9AE}" pid="4" name="LastSaved">
    <vt:filetime>2019-10-03T00:00:00Z</vt:filetime>
  </property>
  <property fmtid="{D5CDD505-2E9C-101B-9397-08002B2CF9AE}" pid="5" name="ContentTypeId">
    <vt:lpwstr>0x010100718B36E2D5EAEF4EBC28093009749D4A</vt:lpwstr>
  </property>
  <property fmtid="{D5CDD505-2E9C-101B-9397-08002B2CF9AE}" pid="6" name="Order">
    <vt:r8>43600</vt:r8>
  </property>
  <property fmtid="{D5CDD505-2E9C-101B-9397-08002B2CF9AE}" pid="7" name="MediaServiceImageTags">
    <vt:lpwstr/>
  </property>
</Properties>
</file>