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730A" w14:textId="353F56A7" w:rsidR="004D0C3B" w:rsidRDefault="004D0C3B" w:rsidP="00D125E6">
      <w:pPr>
        <w:spacing w:line="276" w:lineRule="auto"/>
        <w:ind w:right="20"/>
        <w:jc w:val="right"/>
        <w:rPr>
          <w:rFonts w:cs="Arial"/>
        </w:rPr>
      </w:pPr>
      <w:r>
        <w:rPr>
          <w:rFonts w:cs="Arial"/>
          <w:noProof/>
          <w:lang w:eastAsia="en-GB"/>
        </w:rPr>
        <w:pict w14:anchorId="3DA8C499">
          <v:shapetype id="_x0000_t202" coordsize="21600,21600" o:spt="202" path="m,l,21600r21600,l21600,xe">
            <v:stroke joinstyle="miter"/>
            <v:path gradientshapeok="t" o:connecttype="rect"/>
          </v:shapetype>
          <v:shape id="_x0000_s1026" type="#_x0000_t202" style="position:absolute;left:0;text-align:left;margin-left:26.4pt;margin-top:10.5pt;width:264pt;height:45.8pt;z-index:251657216;mso-wrap-distance-left:2.88pt;mso-wrap-distance-top:2.88pt;mso-wrap-distance-right:2.88pt;mso-wrap-distance-bottom:2.88pt"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26;mso-column-margin:5.76pt" inset="2.88pt,2.88pt,2.88pt,2.88pt">
              <w:txbxContent>
                <w:p w14:paraId="71087CB8" w14:textId="77777777" w:rsidR="00DB10BD" w:rsidRPr="00B839BB" w:rsidRDefault="00DB10BD" w:rsidP="004D0C3B">
                  <w:pPr>
                    <w:widowControl w:val="0"/>
                    <w:rPr>
                      <w:rFonts w:ascii="Gill Sans MT" w:hAnsi="Gill Sans MT" w:cs="Arial"/>
                      <w:color w:val="634D45"/>
                    </w:rPr>
                  </w:pPr>
                  <w:r w:rsidRPr="005B535E">
                    <w:rPr>
                      <w:rFonts w:ascii="Gill Sans MT" w:hAnsi="Gill Sans MT" w:cs="Arial"/>
                      <w:color w:val="7F7F7F"/>
                    </w:rPr>
                    <w:t xml:space="preserve">Diocese of Bristol </w:t>
                  </w:r>
                </w:p>
              </w:txbxContent>
            </v:textbox>
          </v:shape>
        </w:pict>
      </w:r>
      <w:r>
        <w:rPr>
          <w:rFonts w:eastAsia="Times" w:cs="Arial"/>
          <w:noProof/>
          <w:sz w:val="24"/>
          <w:szCs w:val="20"/>
          <w:lang w:eastAsia="en-GB"/>
        </w:rPr>
        <w:pict w14:anchorId="0E8B0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logo.jpg" style="position:absolute;left:0;text-align:left;margin-left:-7.35pt;margin-top:6.8pt;width:31.5pt;height:33pt;z-index:251658240;visibility:visible">
            <v:imagedata r:id="rId12" o:title="logo"/>
          </v:shape>
        </w:pict>
      </w:r>
      <w:r w:rsidR="00EC39FE">
        <w:rPr>
          <w:rFonts w:cs="Arial"/>
        </w:rPr>
        <w:t>Last Updated</w:t>
      </w:r>
      <w:r w:rsidR="00D125E6">
        <w:rPr>
          <w:rFonts w:cs="Arial"/>
        </w:rPr>
        <w:t xml:space="preserve"> </w:t>
      </w:r>
      <w:r w:rsidR="0022437E">
        <w:rPr>
          <w:rFonts w:cs="Arial"/>
        </w:rPr>
        <w:t>August 2023</w:t>
      </w:r>
      <w:r w:rsidR="00EC39FE">
        <w:rPr>
          <w:rFonts w:cs="Arial"/>
        </w:rPr>
        <w:t xml:space="preserve"> V</w:t>
      </w:r>
      <w:r w:rsidR="0022437E">
        <w:rPr>
          <w:rFonts w:cs="Arial"/>
        </w:rPr>
        <w:t>4</w:t>
      </w:r>
    </w:p>
    <w:p w14:paraId="3EB325CB" w14:textId="77777777" w:rsidR="004D0C3B" w:rsidRDefault="004D0C3B" w:rsidP="00FD3EA1">
      <w:pPr>
        <w:spacing w:line="276" w:lineRule="auto"/>
        <w:ind w:right="20"/>
        <w:jc w:val="center"/>
        <w:rPr>
          <w:rFonts w:cs="Arial"/>
        </w:rPr>
      </w:pPr>
    </w:p>
    <w:p w14:paraId="79BDAA72" w14:textId="77777777" w:rsidR="004D0C3B" w:rsidRDefault="004D0C3B" w:rsidP="00FD3EA1">
      <w:pPr>
        <w:spacing w:line="276" w:lineRule="auto"/>
        <w:ind w:right="20"/>
        <w:jc w:val="center"/>
        <w:rPr>
          <w:rFonts w:cs="Arial"/>
        </w:rPr>
      </w:pPr>
    </w:p>
    <w:p w14:paraId="7C40BF1D" w14:textId="77777777" w:rsidR="004D0C3B" w:rsidRDefault="004D0C3B" w:rsidP="00FD3EA1">
      <w:pPr>
        <w:spacing w:line="276" w:lineRule="auto"/>
        <w:ind w:right="20"/>
        <w:jc w:val="center"/>
        <w:rPr>
          <w:rFonts w:cs="Arial"/>
        </w:rPr>
      </w:pPr>
    </w:p>
    <w:p w14:paraId="5AF0A45C" w14:textId="77777777" w:rsidR="00A10C5A" w:rsidRDefault="00F10D54" w:rsidP="00FD3EA1">
      <w:pPr>
        <w:spacing w:line="276" w:lineRule="auto"/>
        <w:ind w:right="20"/>
        <w:rPr>
          <w:rFonts w:ascii="Gill Sans MT" w:hAnsi="Gill Sans MT" w:cs="Arial"/>
          <w:sz w:val="32"/>
        </w:rPr>
      </w:pPr>
      <w:r w:rsidRPr="00F10D54">
        <w:rPr>
          <w:rFonts w:ascii="Gill Sans MT" w:hAnsi="Gill Sans MT" w:cs="Arial"/>
          <w:sz w:val="32"/>
        </w:rPr>
        <w:t>Fair Recruitment of Ex Offenders policy</w:t>
      </w:r>
    </w:p>
    <w:p w14:paraId="5CDE3BC1" w14:textId="77777777" w:rsidR="00F10D54" w:rsidRPr="00BC2F68" w:rsidRDefault="00F10D54" w:rsidP="00FD3EA1">
      <w:pPr>
        <w:spacing w:line="276" w:lineRule="auto"/>
        <w:ind w:right="20"/>
        <w:rPr>
          <w:rFonts w:ascii="Gill Sans MT" w:hAnsi="Gill Sans MT" w:cs="Arial"/>
          <w:sz w:val="28"/>
        </w:rPr>
      </w:pPr>
    </w:p>
    <w:p w14:paraId="54A74F40" w14:textId="77777777" w:rsidR="00F10D54" w:rsidRPr="00F10D54" w:rsidRDefault="00F10D54" w:rsidP="003E3E69">
      <w:pPr>
        <w:spacing w:after="200"/>
        <w:rPr>
          <w:rFonts w:eastAsia="Calibri"/>
          <w:szCs w:val="22"/>
        </w:rPr>
      </w:pPr>
      <w:r w:rsidRPr="00F10D54">
        <w:rPr>
          <w:rFonts w:eastAsia="Calibri"/>
          <w:szCs w:val="22"/>
        </w:rPr>
        <w:t xml:space="preserve">As an organisation using the Disclosure and Barring Service (DBS) to assess applicants' suitability for positions of trust, the Diocese of Bristol undertakes to comply fully with the DBS Code of Practice and to treat all applicants for positions fairly. It undertakes not to discriminate unfairly against any subject of disclosure on the basis of conviction or other information revealed. </w:t>
      </w:r>
    </w:p>
    <w:p w14:paraId="319838EC" w14:textId="77777777" w:rsidR="00F10D54" w:rsidRPr="00F10D54" w:rsidRDefault="00F10D54" w:rsidP="003E3E69">
      <w:pPr>
        <w:spacing w:after="200"/>
        <w:rPr>
          <w:rFonts w:eastAsia="Calibri"/>
          <w:szCs w:val="22"/>
        </w:rPr>
      </w:pPr>
      <w:r w:rsidRPr="00F10D54">
        <w:rPr>
          <w:rFonts w:eastAsia="Calibri"/>
          <w:szCs w:val="22"/>
        </w:rPr>
        <w:t>We make every subject of a DBS Disclosure aware of the existence of the Code of Practice and make a copy available on request.</w:t>
      </w:r>
    </w:p>
    <w:p w14:paraId="37CC7413" w14:textId="77777777" w:rsidR="00F10D54" w:rsidRPr="00F10D54" w:rsidRDefault="00F10D54" w:rsidP="003E3E69">
      <w:pPr>
        <w:spacing w:after="200"/>
        <w:rPr>
          <w:rFonts w:eastAsia="Calibri"/>
          <w:szCs w:val="22"/>
        </w:rPr>
      </w:pPr>
      <w:r w:rsidRPr="00F10D54">
        <w:rPr>
          <w:rFonts w:eastAsia="Calibri"/>
          <w:szCs w:val="22"/>
        </w:rPr>
        <w:t>Having a criminal record will not necessarily bar you from working with us. It will depend on the nature of the position and the circumstances and background of your offences.</w:t>
      </w:r>
    </w:p>
    <w:p w14:paraId="398DDB8A" w14:textId="77777777" w:rsidR="00F10D54" w:rsidRPr="00F10D54" w:rsidRDefault="00F10D54" w:rsidP="003E3E69">
      <w:pPr>
        <w:spacing w:after="200"/>
        <w:rPr>
          <w:rFonts w:eastAsia="Calibri"/>
          <w:szCs w:val="22"/>
        </w:rPr>
      </w:pPr>
      <w:r w:rsidRPr="00F10D54">
        <w:rPr>
          <w:rFonts w:eastAsia="Calibri"/>
          <w:szCs w:val="22"/>
        </w:rPr>
        <w:t xml:space="preserve"> A Disclosure is only requested after a thorough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a position. </w:t>
      </w:r>
    </w:p>
    <w:p w14:paraId="122C006C" w14:textId="77777777" w:rsidR="00F10D54" w:rsidRPr="00F10D54" w:rsidRDefault="00F10D54" w:rsidP="003E3E69">
      <w:pPr>
        <w:spacing w:after="200"/>
        <w:rPr>
          <w:rFonts w:eastAsia="Calibri"/>
          <w:szCs w:val="22"/>
        </w:rPr>
      </w:pPr>
      <w:r w:rsidRPr="00F10D54">
        <w:rPr>
          <w:rFonts w:eastAsia="Calibri"/>
          <w:szCs w:val="22"/>
        </w:rPr>
        <w:t>Where a Disclosure is to form part of a recruitment process, we encourage all applicants called for interview to provide details of any unspent criminal record at an early stage in the application process.</w:t>
      </w:r>
    </w:p>
    <w:p w14:paraId="3D18E70E" w14:textId="77777777" w:rsidR="00F10D54" w:rsidRPr="00F10D54" w:rsidRDefault="00F10D54" w:rsidP="003E3E69">
      <w:pPr>
        <w:spacing w:after="200"/>
        <w:rPr>
          <w:rFonts w:eastAsia="Calibri"/>
          <w:szCs w:val="22"/>
        </w:rPr>
      </w:pPr>
      <w:r w:rsidRPr="00F10D54">
        <w:rPr>
          <w:rFonts w:eastAsia="Calibri"/>
          <w:szCs w:val="22"/>
        </w:rPr>
        <w:t xml:space="preserve">Unless the nature of the position allows the Diocese of Bristol to ask questions about your entire criminal record, we only ask about “unspent” convictions as defined in the Rehabilitation of Offenders Act 1974. </w:t>
      </w:r>
    </w:p>
    <w:p w14:paraId="7F64EA49" w14:textId="03A0EF66" w:rsidR="00F10D54" w:rsidRPr="00F10D54" w:rsidRDefault="00F10D54" w:rsidP="003E3E69">
      <w:pPr>
        <w:spacing w:after="200"/>
        <w:rPr>
          <w:rFonts w:eastAsia="Calibri"/>
          <w:szCs w:val="22"/>
        </w:rPr>
      </w:pPr>
      <w:r w:rsidRPr="00F10D54">
        <w:rPr>
          <w:rFonts w:eastAsia="Calibri"/>
          <w:szCs w:val="22"/>
        </w:rPr>
        <w:t>Where the nature of a position does allow us to ask questions about your entire criminal record excepting any “protected” information we will ask you to complete a “</w:t>
      </w:r>
      <w:r w:rsidR="000C4D21">
        <w:rPr>
          <w:rFonts w:eastAsia="Calibri"/>
          <w:szCs w:val="22"/>
        </w:rPr>
        <w:t>Confidential Declaration</w:t>
      </w:r>
      <w:r w:rsidRPr="00F10D54">
        <w:rPr>
          <w:rFonts w:eastAsia="Calibri"/>
          <w:szCs w:val="22"/>
        </w:rPr>
        <w:t xml:space="preserve"> Form” before asking you to apply for a DBS disclosure. (Further information about what information should be disclosed is available from DBS in their ‘DBS Filtering Guide’, </w:t>
      </w:r>
      <w:hyperlink r:id="rId13" w:history="1">
        <w:r w:rsidR="00DC7F95" w:rsidRPr="006E73C0">
          <w:rPr>
            <w:rStyle w:val="Hyperlink"/>
            <w:rFonts w:eastAsia="Calibri"/>
            <w:szCs w:val="22"/>
          </w:rPr>
          <w:t>https://www.gov.uk/govern</w:t>
        </w:r>
        <w:r w:rsidR="00DC7F95" w:rsidRPr="006E73C0">
          <w:rPr>
            <w:rStyle w:val="Hyperlink"/>
            <w:rFonts w:eastAsia="Calibri"/>
            <w:szCs w:val="22"/>
          </w:rPr>
          <w:t>m</w:t>
        </w:r>
        <w:r w:rsidR="00DC7F95" w:rsidRPr="006E73C0">
          <w:rPr>
            <w:rStyle w:val="Hyperlink"/>
            <w:rFonts w:eastAsia="Calibri"/>
            <w:szCs w:val="22"/>
          </w:rPr>
          <w:t>ent/publications/dbs-filtering-guidance/dbs-filtering-guide</w:t>
        </w:r>
      </w:hyperlink>
      <w:r w:rsidRPr="00F10D54">
        <w:rPr>
          <w:rFonts w:eastAsia="Calibri"/>
          <w:szCs w:val="22"/>
        </w:rPr>
        <w:t xml:space="preserve">). This enables us to discuss with you at an early stage any information which may cause you to be unable to progress to confirmation in role. We request that this information is sent under separate, confidential cover to the person within the organisation who is responsible for processing your DBS disclosure application and we guarantee that this information will only be seen by those who need to see it as part of a recruitment process. </w:t>
      </w:r>
    </w:p>
    <w:p w14:paraId="5D7CE96E" w14:textId="77777777" w:rsidR="00F10D54" w:rsidRDefault="00F10D54" w:rsidP="003E3E69">
      <w:pPr>
        <w:spacing w:after="200"/>
        <w:rPr>
          <w:rFonts w:eastAsia="Calibri"/>
          <w:szCs w:val="22"/>
        </w:rPr>
      </w:pPr>
      <w:r w:rsidRPr="00F10D54">
        <w:rPr>
          <w:rFonts w:eastAsia="Calibri"/>
          <w:szCs w:val="22"/>
        </w:rPr>
        <w:t xml:space="preserve">Where a caution, conviction or additional information is disclosed by you or on a DBS disclosure your consent will be sought to forward a copy of the document to the </w:t>
      </w:r>
      <w:r w:rsidR="00DA1DE5" w:rsidRPr="00DA1DE5">
        <w:rPr>
          <w:rFonts w:eastAsia="Calibri"/>
          <w:szCs w:val="22"/>
        </w:rPr>
        <w:t xml:space="preserve">Diocesan Safeguarding Team </w:t>
      </w:r>
      <w:r w:rsidRPr="00F10D54">
        <w:rPr>
          <w:rFonts w:eastAsia="Calibri"/>
          <w:szCs w:val="22"/>
        </w:rPr>
        <w:t>(DS</w:t>
      </w:r>
      <w:r w:rsidR="00DA1DE5">
        <w:rPr>
          <w:rFonts w:eastAsia="Calibri"/>
          <w:szCs w:val="22"/>
        </w:rPr>
        <w:t>T</w:t>
      </w:r>
      <w:r w:rsidRPr="00F10D54">
        <w:rPr>
          <w:rFonts w:eastAsia="Calibri"/>
          <w:szCs w:val="22"/>
        </w:rPr>
        <w:t>).</w:t>
      </w:r>
    </w:p>
    <w:p w14:paraId="1C1404FE" w14:textId="77777777" w:rsidR="00F10D54" w:rsidRPr="00F10D54" w:rsidRDefault="00F10D54" w:rsidP="003E3E69">
      <w:pPr>
        <w:spacing w:after="200"/>
        <w:rPr>
          <w:rFonts w:eastAsia="Calibri"/>
          <w:szCs w:val="22"/>
        </w:rPr>
      </w:pPr>
      <w:r w:rsidRPr="00F10D54">
        <w:rPr>
          <w:rFonts w:eastAsia="Calibri"/>
          <w:szCs w:val="22"/>
        </w:rPr>
        <w:t>The DS</w:t>
      </w:r>
      <w:r w:rsidR="00DA1DE5">
        <w:rPr>
          <w:rFonts w:eastAsia="Calibri"/>
          <w:szCs w:val="22"/>
        </w:rPr>
        <w:t>T</w:t>
      </w:r>
      <w:r w:rsidRPr="00F10D54">
        <w:rPr>
          <w:rFonts w:eastAsia="Calibri"/>
          <w:szCs w:val="22"/>
        </w:rPr>
        <w:t xml:space="preserve"> will make contact with you to discuss the information and the circumstances in which the caution, conviction or concern arose. The DS</w:t>
      </w:r>
      <w:r w:rsidR="00DA1DE5">
        <w:rPr>
          <w:rFonts w:eastAsia="Calibri"/>
          <w:szCs w:val="22"/>
        </w:rPr>
        <w:t>T</w:t>
      </w:r>
      <w:r w:rsidRPr="00F10D54">
        <w:rPr>
          <w:rFonts w:eastAsia="Calibri"/>
          <w:szCs w:val="22"/>
        </w:rPr>
        <w:t xml:space="preserve"> may need to speak to statutory bodies or individuals and will seek your consent to do so. The DS</w:t>
      </w:r>
      <w:r w:rsidR="00DA1DE5">
        <w:rPr>
          <w:rFonts w:eastAsia="Calibri"/>
          <w:szCs w:val="22"/>
        </w:rPr>
        <w:t>T</w:t>
      </w:r>
      <w:r w:rsidRPr="00F10D54">
        <w:rPr>
          <w:rFonts w:eastAsia="Calibri"/>
          <w:szCs w:val="22"/>
        </w:rPr>
        <w:t xml:space="preserve"> will provide a written risk assessment to the recruiter which includes a recommendation of safe to proceed, proceed with amendments to role or not safe to proceed. You will be provided with a copy of that assessment.  </w:t>
      </w:r>
    </w:p>
    <w:p w14:paraId="47104A8E" w14:textId="77777777" w:rsidR="00F10D54" w:rsidRPr="00F10D54" w:rsidRDefault="00F10D54" w:rsidP="003E3E69">
      <w:pPr>
        <w:spacing w:after="200"/>
        <w:rPr>
          <w:rFonts w:eastAsia="Calibri"/>
          <w:szCs w:val="22"/>
        </w:rPr>
      </w:pPr>
      <w:r w:rsidRPr="00F10D54">
        <w:rPr>
          <w:rFonts w:eastAsia="Calibri"/>
          <w:szCs w:val="22"/>
        </w:rPr>
        <w:t>The recruiter will then communicate to you a decision regarding whether they are able to continue with the appointment process.</w:t>
      </w:r>
    </w:p>
    <w:p w14:paraId="570911F6" w14:textId="77777777" w:rsidR="00F10D54" w:rsidRPr="00F10D54" w:rsidRDefault="00F10D54" w:rsidP="003E3E69">
      <w:pPr>
        <w:spacing w:after="200"/>
        <w:rPr>
          <w:rFonts w:eastAsia="Calibri"/>
          <w:szCs w:val="22"/>
        </w:rPr>
      </w:pPr>
      <w:r w:rsidRPr="00F10D54">
        <w:rPr>
          <w:rFonts w:eastAsia="Calibri"/>
          <w:szCs w:val="22"/>
        </w:rPr>
        <w:lastRenderedPageBreak/>
        <w:t>Failure to reveal information that is relevant to the position sought could lead to withdrawal of an offer of employment or voluntary work. Failure to consent to risk assessment will result in any offer of employment or voluntary work being withdrawn.</w:t>
      </w:r>
    </w:p>
    <w:p w14:paraId="1202E52F" w14:textId="77777777" w:rsidR="00F10D54" w:rsidRPr="00F10D54" w:rsidRDefault="00F10D54" w:rsidP="003E3E69">
      <w:pPr>
        <w:spacing w:after="200"/>
        <w:rPr>
          <w:rFonts w:eastAsia="Calibri"/>
          <w:szCs w:val="22"/>
        </w:rPr>
      </w:pPr>
      <w:r w:rsidRPr="00F10D54">
        <w:rPr>
          <w:rFonts w:eastAsia="Calibri"/>
          <w:szCs w:val="22"/>
        </w:rPr>
        <w:t>This policy stands for all staff and volunteers recruited by the Bristol Diocese Board of Finance, all those holding a Bishops Licence,</w:t>
      </w:r>
      <w:r w:rsidR="00DC7F95">
        <w:rPr>
          <w:rFonts w:eastAsia="Calibri"/>
          <w:szCs w:val="22"/>
        </w:rPr>
        <w:t xml:space="preserve"> commission or permission and</w:t>
      </w:r>
      <w:r w:rsidRPr="00F10D54">
        <w:rPr>
          <w:rFonts w:eastAsia="Calibri"/>
          <w:szCs w:val="22"/>
        </w:rPr>
        <w:t xml:space="preserve"> those employed by the Diocesan Bishop and candidates for BAP and Ordination.    </w:t>
      </w:r>
    </w:p>
    <w:p w14:paraId="141EF53F" w14:textId="42894B42" w:rsidR="00F10D54" w:rsidRPr="00F10D54" w:rsidRDefault="00F10D54" w:rsidP="003E3E69">
      <w:pPr>
        <w:spacing w:after="200"/>
        <w:rPr>
          <w:rFonts w:eastAsia="Calibri"/>
          <w:szCs w:val="22"/>
        </w:rPr>
      </w:pPr>
      <w:r w:rsidRPr="00F10D54">
        <w:rPr>
          <w:rFonts w:eastAsia="Calibri"/>
          <w:szCs w:val="22"/>
        </w:rPr>
        <w:t xml:space="preserve">This policy does not apply to staff and volunteers recruited by parishes, Bristol Cathedral or other organisations within the Diocese of Bristol. Each of these needs to confirm that they have adopted their own version of this policy prior to accessing the </w:t>
      </w:r>
      <w:proofErr w:type="spellStart"/>
      <w:r w:rsidR="009312F4">
        <w:rPr>
          <w:rFonts w:eastAsia="Calibri"/>
          <w:szCs w:val="22"/>
        </w:rPr>
        <w:t>Thirtyone:Eight</w:t>
      </w:r>
      <w:proofErr w:type="spellEnd"/>
      <w:r w:rsidRPr="00F10D54">
        <w:rPr>
          <w:rFonts w:eastAsia="Calibri"/>
          <w:szCs w:val="22"/>
        </w:rPr>
        <w:t xml:space="preserve"> E</w:t>
      </w:r>
      <w:r w:rsidR="009312F4">
        <w:rPr>
          <w:rFonts w:eastAsia="Calibri"/>
          <w:szCs w:val="22"/>
        </w:rPr>
        <w:t>-B</w:t>
      </w:r>
      <w:r w:rsidRPr="00F10D54">
        <w:rPr>
          <w:rFonts w:eastAsia="Calibri"/>
          <w:szCs w:val="22"/>
        </w:rPr>
        <w:t xml:space="preserve">ulk DBS system provided through BDBF. </w:t>
      </w:r>
    </w:p>
    <w:p w14:paraId="02B33C12" w14:textId="77777777" w:rsidR="00FD3EA1" w:rsidRDefault="00FD3EA1" w:rsidP="003E3E69">
      <w:pPr>
        <w:ind w:left="1474"/>
        <w:rPr>
          <w:rFonts w:cs="Arial"/>
          <w:sz w:val="24"/>
        </w:rPr>
      </w:pPr>
    </w:p>
    <w:p w14:paraId="31142B46" w14:textId="77777777" w:rsidR="007B5BD3" w:rsidRDefault="007B5BD3" w:rsidP="003E3E69">
      <w:pPr>
        <w:spacing w:after="200"/>
        <w:rPr>
          <w:b/>
        </w:rPr>
      </w:pPr>
      <w:r w:rsidRPr="00230C86">
        <w:rPr>
          <w:b/>
        </w:rPr>
        <w:t>Quality Assurance</w:t>
      </w:r>
      <w:r>
        <w:rPr>
          <w:b/>
        </w:rPr>
        <w:t xml:space="preserve"> and Appeals</w:t>
      </w:r>
      <w:r w:rsidRPr="00230C86">
        <w:rPr>
          <w:b/>
        </w:rPr>
        <w:t>:</w:t>
      </w:r>
      <w:r>
        <w:rPr>
          <w:b/>
        </w:rPr>
        <w:t xml:space="preserve"> </w:t>
      </w:r>
    </w:p>
    <w:p w14:paraId="6DCCE0C4" w14:textId="6E61B011" w:rsidR="007B5BD3" w:rsidRDefault="007B5BD3" w:rsidP="005B35BA">
      <w:pPr>
        <w:spacing w:after="200"/>
      </w:pPr>
      <w:r>
        <w:t xml:space="preserve">In order to ensure that this process is followed according to Church of England agreed policy and practice (see </w:t>
      </w:r>
      <w:r w:rsidRPr="007B5BD3">
        <w:t>National Church of England</w:t>
      </w:r>
      <w:r w:rsidR="005B35BA">
        <w:t xml:space="preserve">, </w:t>
      </w:r>
      <w:hyperlink r:id="rId14" w:history="1">
        <w:r w:rsidR="00C64188" w:rsidRPr="005B35BA">
          <w:rPr>
            <w:rStyle w:val="Hyperlink"/>
          </w:rPr>
          <w:t xml:space="preserve">Practice Guidance: </w:t>
        </w:r>
        <w:r w:rsidR="005B35BA" w:rsidRPr="005B35BA">
          <w:rPr>
            <w:rStyle w:val="Hyperlink"/>
          </w:rPr>
          <w:t>Responding to, assessing and managing safeguarding concerns or allegations against church officers</w:t>
        </w:r>
        <w:r w:rsidR="005B35BA" w:rsidRPr="005B35BA">
          <w:rPr>
            <w:rStyle w:val="Hyperlink"/>
          </w:rPr>
          <w:t>.</w:t>
        </w:r>
      </w:hyperlink>
      <w:r w:rsidR="005B35BA">
        <w:t xml:space="preserve"> October 2017) </w:t>
      </w:r>
      <w:r>
        <w:t xml:space="preserve">the </w:t>
      </w:r>
      <w:r w:rsidR="009312F4">
        <w:t xml:space="preserve">Deputy </w:t>
      </w:r>
      <w:r>
        <w:t>Diocesan Secretary as Bishops Staff Safeguarding Lead will be made aware of all risk assessments conducted within this process.</w:t>
      </w:r>
    </w:p>
    <w:p w14:paraId="67D7A2DB" w14:textId="77777777" w:rsidR="007B5BD3" w:rsidRDefault="007B5BD3" w:rsidP="003E3E69">
      <w:pPr>
        <w:spacing w:after="200"/>
      </w:pPr>
      <w:r w:rsidRPr="0002561B">
        <w:t>Should the individual</w:t>
      </w:r>
      <w:r>
        <w:t xml:space="preserve"> subject to this process feel that they have been treated unfairly or that </w:t>
      </w:r>
      <w:r w:rsidR="00E56F22">
        <w:t>the process is</w:t>
      </w:r>
      <w:r>
        <w:t xml:space="preserve"> contradictory to Church of England practice guidance, they may appeal.</w:t>
      </w:r>
    </w:p>
    <w:p w14:paraId="568F9BE0" w14:textId="77777777" w:rsidR="007B5BD3" w:rsidRPr="0002561B" w:rsidRDefault="007B5BD3" w:rsidP="003E3E69">
      <w:pPr>
        <w:spacing w:after="200"/>
      </w:pPr>
      <w:r>
        <w:t xml:space="preserve"> </w:t>
      </w:r>
      <w:r w:rsidRPr="0002561B">
        <w:t xml:space="preserve">The individual subject to risk assessment states in writing that they wish to appeal. If </w:t>
      </w:r>
      <w:r>
        <w:t xml:space="preserve">the </w:t>
      </w:r>
      <w:r w:rsidRPr="0002561B">
        <w:t xml:space="preserve">individual initially states verbally that they wish to appeal they may be assisted by any party in producing a letter stating their reason for appeal.   </w:t>
      </w:r>
    </w:p>
    <w:p w14:paraId="5E5BC4ED" w14:textId="77777777" w:rsidR="007B5BD3" w:rsidRPr="0002561B" w:rsidRDefault="007B5BD3" w:rsidP="003E3E69">
      <w:pPr>
        <w:numPr>
          <w:ilvl w:val="0"/>
          <w:numId w:val="5"/>
        </w:numPr>
        <w:spacing w:after="200"/>
      </w:pPr>
      <w:r w:rsidRPr="0002561B">
        <w:t>Independent Chair of D</w:t>
      </w:r>
      <w:r>
        <w:t xml:space="preserve">iocesan Safeguarding </w:t>
      </w:r>
      <w:r w:rsidRPr="0002561B">
        <w:t>S</w:t>
      </w:r>
      <w:r>
        <w:t xml:space="preserve">teering </w:t>
      </w:r>
      <w:r w:rsidRPr="0002561B">
        <w:t>G</w:t>
      </w:r>
      <w:r>
        <w:t>roup (DSSG)</w:t>
      </w:r>
      <w:r w:rsidRPr="0002561B">
        <w:t xml:space="preserve"> notified of appeal. </w:t>
      </w:r>
      <w:r>
        <w:t xml:space="preserve">(Write to: Independent Chair, DSSG, Diocese of Bristol, Hillside House, 1500 Parkway North, Stoke Gifford, Bristol BS34 8YU)  </w:t>
      </w:r>
    </w:p>
    <w:p w14:paraId="019EAF2A" w14:textId="5B7966AF" w:rsidR="007B5BD3" w:rsidRPr="0002561B" w:rsidRDefault="007B5BD3" w:rsidP="003E3E69">
      <w:pPr>
        <w:numPr>
          <w:ilvl w:val="0"/>
          <w:numId w:val="5"/>
        </w:numPr>
        <w:spacing w:after="200"/>
      </w:pPr>
      <w:r w:rsidRPr="0002561B">
        <w:t xml:space="preserve">Independent Chair identifies panel of three individuals taken from DSSG membership (not to include </w:t>
      </w:r>
      <w:r w:rsidR="00E15D8B">
        <w:t xml:space="preserve">Deputy </w:t>
      </w:r>
      <w:r w:rsidRPr="0002561B">
        <w:t>Diocesan Secretary).</w:t>
      </w:r>
    </w:p>
    <w:p w14:paraId="3FB2836C" w14:textId="77777777" w:rsidR="007B5BD3" w:rsidRPr="0002561B" w:rsidRDefault="007B5BD3" w:rsidP="003E3E69">
      <w:pPr>
        <w:numPr>
          <w:ilvl w:val="0"/>
          <w:numId w:val="5"/>
        </w:numPr>
        <w:spacing w:after="200"/>
      </w:pPr>
      <w:r w:rsidRPr="0002561B">
        <w:t>Individual subject to assessment is invited to submit any documents or a statement to the Independent Chair that they wish to be considered by the panel.</w:t>
      </w:r>
    </w:p>
    <w:p w14:paraId="3E68A3AC" w14:textId="77777777" w:rsidR="007B5BD3" w:rsidRPr="0002561B" w:rsidRDefault="007B5BD3" w:rsidP="003E3E69">
      <w:pPr>
        <w:numPr>
          <w:ilvl w:val="0"/>
          <w:numId w:val="5"/>
        </w:numPr>
        <w:spacing w:after="200"/>
      </w:pPr>
      <w:r w:rsidRPr="0002561B">
        <w:t>DS</w:t>
      </w:r>
      <w:r w:rsidR="00DA1DE5">
        <w:t>T</w:t>
      </w:r>
      <w:r w:rsidRPr="0002561B">
        <w:t xml:space="preserve"> provides Independent Chair with anonymised material (investigation report/ risk assessment/ agreement/ action plan dependent on case).</w:t>
      </w:r>
    </w:p>
    <w:p w14:paraId="4F5BCFD4" w14:textId="77777777" w:rsidR="007B5BD3" w:rsidRPr="0002561B" w:rsidRDefault="007B5BD3" w:rsidP="003E3E69">
      <w:pPr>
        <w:numPr>
          <w:ilvl w:val="0"/>
          <w:numId w:val="5"/>
        </w:numPr>
        <w:spacing w:after="200"/>
      </w:pPr>
      <w:r w:rsidRPr="0002561B">
        <w:t xml:space="preserve">Independent Chair reviews and forwards anonymised material to the individuals on the panel.  Chair will request any additional information required from </w:t>
      </w:r>
      <w:r>
        <w:t>i</w:t>
      </w:r>
      <w:r w:rsidRPr="0002561B">
        <w:t>ndividual subject to risk assessment or the DS</w:t>
      </w:r>
      <w:r w:rsidR="00DA1DE5">
        <w:t>T</w:t>
      </w:r>
      <w:r w:rsidRPr="0002561B">
        <w:t xml:space="preserve"> or others.</w:t>
      </w:r>
    </w:p>
    <w:p w14:paraId="1040E9C3" w14:textId="77777777" w:rsidR="007B5BD3" w:rsidRPr="0002561B" w:rsidRDefault="007B5BD3" w:rsidP="003E3E69">
      <w:pPr>
        <w:numPr>
          <w:ilvl w:val="0"/>
          <w:numId w:val="5"/>
        </w:numPr>
        <w:spacing w:after="200"/>
      </w:pPr>
      <w:r w:rsidRPr="0002561B">
        <w:t>Panel members individually review material.</w:t>
      </w:r>
    </w:p>
    <w:p w14:paraId="255486FA" w14:textId="77777777" w:rsidR="007B5BD3" w:rsidRPr="0002561B" w:rsidRDefault="007B5BD3" w:rsidP="003E3E69">
      <w:pPr>
        <w:numPr>
          <w:ilvl w:val="0"/>
          <w:numId w:val="5"/>
        </w:numPr>
        <w:spacing w:after="200"/>
      </w:pPr>
      <w:r w:rsidRPr="0002561B">
        <w:t>Independent Chair convenes a panel meeting in person or by teleconference at which the appeal and information submitted are considered.</w:t>
      </w:r>
    </w:p>
    <w:p w14:paraId="36CAF3F2" w14:textId="18AF85F9" w:rsidR="007B5BD3" w:rsidRDefault="007B5BD3" w:rsidP="003E3E69">
      <w:pPr>
        <w:numPr>
          <w:ilvl w:val="0"/>
          <w:numId w:val="5"/>
        </w:numPr>
        <w:spacing w:after="200"/>
      </w:pPr>
      <w:r w:rsidRPr="0002561B">
        <w:t>The panel will consider the information submitted alongside the guidance ‘</w:t>
      </w:r>
      <w:r w:rsidR="001D42EA" w:rsidRPr="001D42EA">
        <w:t>Practice Guidance: Responding to, assessing and managing safeguarding concerns or allegations against church officers</w:t>
      </w:r>
      <w:r w:rsidR="001D42EA">
        <w:t>’</w:t>
      </w:r>
      <w:r w:rsidR="001D42EA">
        <w:t xml:space="preserve"> October 2017</w:t>
      </w:r>
      <w:r w:rsidR="001D42EA">
        <w:t xml:space="preserve"> </w:t>
      </w:r>
      <w:r w:rsidRPr="0002561B">
        <w:t>and any other relevant Church of England policy or guidance and any legislation relevant. The panel will then reach  one of the following conclusions:</w:t>
      </w:r>
    </w:p>
    <w:p w14:paraId="22FD5D90" w14:textId="77777777" w:rsidR="003E3E69" w:rsidRPr="0002561B" w:rsidRDefault="003E3E69" w:rsidP="003E3E69">
      <w:pPr>
        <w:spacing w:after="200"/>
        <w:ind w:left="360"/>
      </w:pPr>
    </w:p>
    <w:p w14:paraId="6CFB1E33" w14:textId="77777777" w:rsidR="007B5BD3" w:rsidRPr="0002561B" w:rsidRDefault="007B5BD3" w:rsidP="003E3E69">
      <w:pPr>
        <w:numPr>
          <w:ilvl w:val="0"/>
          <w:numId w:val="6"/>
        </w:numPr>
        <w:spacing w:after="200"/>
      </w:pPr>
      <w:r w:rsidRPr="0002561B">
        <w:lastRenderedPageBreak/>
        <w:t>The meeting is adjourned, either whilst additional information is obtained or for consideration.</w:t>
      </w:r>
    </w:p>
    <w:p w14:paraId="78C26FE7" w14:textId="77777777" w:rsidR="007B5BD3" w:rsidRPr="0002561B" w:rsidRDefault="007B5BD3" w:rsidP="003E3E69">
      <w:pPr>
        <w:numPr>
          <w:ilvl w:val="0"/>
          <w:numId w:val="6"/>
        </w:numPr>
        <w:spacing w:after="200"/>
      </w:pPr>
      <w:r w:rsidRPr="0002561B">
        <w:t>The appeal has no grounds and is therefore dismissed</w:t>
      </w:r>
    </w:p>
    <w:p w14:paraId="564BE7FA" w14:textId="77777777" w:rsidR="007B5BD3" w:rsidRPr="0002561B" w:rsidRDefault="007B5BD3" w:rsidP="003E3E69">
      <w:pPr>
        <w:numPr>
          <w:ilvl w:val="0"/>
          <w:numId w:val="6"/>
        </w:numPr>
        <w:spacing w:after="200"/>
      </w:pPr>
      <w:r w:rsidRPr="0002561B">
        <w:t>The appeal has grounds and recommendations are made for amendments to the implementation of the risk management plan or agreement.</w:t>
      </w:r>
    </w:p>
    <w:p w14:paraId="390F53C9" w14:textId="77777777" w:rsidR="007B5BD3" w:rsidRPr="0002561B" w:rsidRDefault="007B5BD3" w:rsidP="003E3E69">
      <w:pPr>
        <w:numPr>
          <w:ilvl w:val="0"/>
          <w:numId w:val="6"/>
        </w:numPr>
        <w:spacing w:after="200"/>
      </w:pPr>
      <w:r w:rsidRPr="0002561B">
        <w:t>There has been a breach of relevant policy or poor professional practice- in which case a recommendation may be made to the relevant line manager for appropriate procedures to be followed.</w:t>
      </w:r>
    </w:p>
    <w:p w14:paraId="1C0E2A6D" w14:textId="77777777" w:rsidR="007B5BD3" w:rsidRPr="0002561B" w:rsidRDefault="007B5BD3" w:rsidP="003E3E69">
      <w:pPr>
        <w:spacing w:after="200"/>
      </w:pPr>
      <w:r w:rsidRPr="0002561B">
        <w:t>The individual subject to investigation, the DS</w:t>
      </w:r>
      <w:r w:rsidR="00DA1DE5">
        <w:t>T</w:t>
      </w:r>
      <w:r w:rsidRPr="0002561B">
        <w:t xml:space="preserve"> and the commissioning body will be informed of the panel’s decision in writing.</w:t>
      </w:r>
      <w:r>
        <w:t xml:space="preserve"> </w:t>
      </w:r>
      <w:r w:rsidRPr="0002561B">
        <w:t>The Commissioning body will then be responsible for considering, with support of the DS</w:t>
      </w:r>
      <w:r w:rsidR="00DA1DE5">
        <w:t>T</w:t>
      </w:r>
      <w:r w:rsidRPr="0002561B">
        <w:t xml:space="preserve"> any panel recommendations.</w:t>
      </w:r>
    </w:p>
    <w:p w14:paraId="667E5A5B" w14:textId="77777777" w:rsidR="007B5BD3" w:rsidRPr="0002561B" w:rsidRDefault="007B5BD3" w:rsidP="003E3E69">
      <w:pPr>
        <w:spacing w:after="200"/>
      </w:pPr>
      <w:r w:rsidRPr="0002561B">
        <w:t xml:space="preserve">Report made to Bishop and to next DSSG with case summary, panel recommendations and actions taken.  </w:t>
      </w:r>
    </w:p>
    <w:p w14:paraId="185D4F32" w14:textId="77777777" w:rsidR="007B5BD3" w:rsidRPr="0002561B" w:rsidRDefault="007B5BD3" w:rsidP="003E3E69">
      <w:pPr>
        <w:spacing w:after="200"/>
      </w:pPr>
    </w:p>
    <w:p w14:paraId="4EB3E77D" w14:textId="77777777" w:rsidR="007B5BD3" w:rsidRDefault="007B5BD3" w:rsidP="003E3E69"/>
    <w:p w14:paraId="66C47455" w14:textId="77777777" w:rsidR="007B5BD3" w:rsidRDefault="007B5BD3" w:rsidP="007B5BD3"/>
    <w:p w14:paraId="19AFDD7D" w14:textId="77777777" w:rsidR="007B5BD3" w:rsidRDefault="007B5BD3" w:rsidP="007B5BD3">
      <w:pPr>
        <w:ind w:left="60"/>
      </w:pPr>
      <w:r>
        <w:t>.</w:t>
      </w:r>
    </w:p>
    <w:p w14:paraId="0AD0BA83" w14:textId="77777777" w:rsidR="007B5BD3" w:rsidRDefault="007B5BD3" w:rsidP="007B5BD3">
      <w:pPr>
        <w:ind w:left="60"/>
      </w:pPr>
    </w:p>
    <w:p w14:paraId="048FEC9D" w14:textId="77777777" w:rsidR="00BC2F68" w:rsidRDefault="00BC2F68" w:rsidP="007B5BD3">
      <w:pPr>
        <w:spacing w:line="276" w:lineRule="auto"/>
        <w:jc w:val="both"/>
        <w:rPr>
          <w:rFonts w:cs="Arial"/>
          <w:sz w:val="24"/>
        </w:rPr>
      </w:pPr>
    </w:p>
    <w:p w14:paraId="2074FF48" w14:textId="77777777" w:rsidR="00BC2F68" w:rsidRDefault="00BC2F68" w:rsidP="00FD3EA1">
      <w:pPr>
        <w:spacing w:line="276" w:lineRule="auto"/>
        <w:ind w:left="1474"/>
        <w:rPr>
          <w:rFonts w:cs="Arial"/>
          <w:sz w:val="24"/>
        </w:rPr>
      </w:pPr>
    </w:p>
    <w:p w14:paraId="43722221" w14:textId="77777777" w:rsidR="0064592E" w:rsidRDefault="0064592E" w:rsidP="00FD3EA1">
      <w:pPr>
        <w:spacing w:line="276" w:lineRule="auto"/>
        <w:ind w:left="1474"/>
        <w:rPr>
          <w:rFonts w:cs="Arial"/>
          <w:sz w:val="24"/>
        </w:rPr>
      </w:pPr>
    </w:p>
    <w:p w14:paraId="0C9435F1" w14:textId="77777777" w:rsidR="0064592E" w:rsidRDefault="0064592E" w:rsidP="00FD3EA1">
      <w:pPr>
        <w:spacing w:line="276" w:lineRule="auto"/>
        <w:ind w:left="1474"/>
        <w:rPr>
          <w:rFonts w:cs="Arial"/>
          <w:sz w:val="24"/>
        </w:rPr>
      </w:pPr>
    </w:p>
    <w:p w14:paraId="2CE60BE2" w14:textId="77777777" w:rsidR="0064592E" w:rsidRDefault="0064592E" w:rsidP="00FD3EA1">
      <w:pPr>
        <w:spacing w:line="276" w:lineRule="auto"/>
        <w:ind w:left="1474"/>
        <w:rPr>
          <w:rFonts w:cs="Arial"/>
          <w:sz w:val="24"/>
        </w:rPr>
      </w:pPr>
    </w:p>
    <w:p w14:paraId="1062B2D3" w14:textId="77777777" w:rsidR="00A71033" w:rsidRDefault="00A71033" w:rsidP="00FD3EA1">
      <w:pPr>
        <w:spacing w:line="276" w:lineRule="auto"/>
        <w:ind w:left="1474"/>
        <w:rPr>
          <w:rFonts w:cs="Arial"/>
          <w:sz w:val="24"/>
        </w:rPr>
      </w:pPr>
    </w:p>
    <w:p w14:paraId="3572F456" w14:textId="77777777" w:rsidR="00A71033" w:rsidRDefault="00A71033" w:rsidP="00FD3EA1">
      <w:pPr>
        <w:spacing w:line="276" w:lineRule="auto"/>
        <w:ind w:left="1474"/>
        <w:rPr>
          <w:rFonts w:cs="Arial"/>
          <w:sz w:val="24"/>
        </w:rPr>
      </w:pPr>
    </w:p>
    <w:p w14:paraId="16145D1D" w14:textId="77777777" w:rsidR="00A71033" w:rsidRDefault="00A71033" w:rsidP="00FD3EA1">
      <w:pPr>
        <w:spacing w:line="276" w:lineRule="auto"/>
        <w:ind w:left="1474"/>
        <w:rPr>
          <w:rFonts w:cs="Arial"/>
          <w:sz w:val="24"/>
        </w:rPr>
      </w:pPr>
    </w:p>
    <w:p w14:paraId="2644DB28" w14:textId="77777777" w:rsidR="00A71033" w:rsidRDefault="00A71033" w:rsidP="00FD3EA1">
      <w:pPr>
        <w:spacing w:line="276" w:lineRule="auto"/>
        <w:ind w:left="1474"/>
        <w:rPr>
          <w:rFonts w:cs="Arial"/>
          <w:sz w:val="24"/>
        </w:rPr>
      </w:pPr>
    </w:p>
    <w:p w14:paraId="3A985B28" w14:textId="77777777" w:rsidR="00F10D54" w:rsidRDefault="00F10D54" w:rsidP="00FD3EA1">
      <w:pPr>
        <w:spacing w:line="276" w:lineRule="auto"/>
        <w:ind w:left="1474"/>
        <w:rPr>
          <w:rFonts w:cs="Arial"/>
          <w:sz w:val="24"/>
        </w:rPr>
      </w:pPr>
    </w:p>
    <w:p w14:paraId="416FACE1" w14:textId="77777777" w:rsidR="00A22965" w:rsidRDefault="00A22965" w:rsidP="00FD3EA1">
      <w:pPr>
        <w:spacing w:line="276" w:lineRule="auto"/>
        <w:ind w:left="1474"/>
        <w:rPr>
          <w:rFonts w:cs="Arial"/>
          <w:sz w:val="24"/>
        </w:rPr>
      </w:pPr>
    </w:p>
    <w:p w14:paraId="08DF33BB" w14:textId="77777777" w:rsidR="00A22965" w:rsidRDefault="00A22965" w:rsidP="00FD3EA1">
      <w:pPr>
        <w:spacing w:line="276" w:lineRule="auto"/>
        <w:ind w:left="1474"/>
        <w:rPr>
          <w:rFonts w:cs="Arial"/>
          <w:sz w:val="24"/>
        </w:rPr>
      </w:pPr>
    </w:p>
    <w:p w14:paraId="4F49E494" w14:textId="77777777" w:rsidR="00A22965" w:rsidRDefault="00A22965" w:rsidP="00FD3EA1">
      <w:pPr>
        <w:spacing w:line="276" w:lineRule="auto"/>
        <w:ind w:left="1474"/>
        <w:rPr>
          <w:rFonts w:cs="Arial"/>
          <w:sz w:val="24"/>
        </w:rPr>
      </w:pPr>
    </w:p>
    <w:p w14:paraId="13AA21B5" w14:textId="77777777" w:rsidR="00A22965" w:rsidRDefault="00A22965" w:rsidP="00FD3EA1">
      <w:pPr>
        <w:spacing w:line="276" w:lineRule="auto"/>
        <w:ind w:left="1474"/>
        <w:rPr>
          <w:rFonts w:cs="Arial"/>
          <w:sz w:val="24"/>
        </w:rPr>
      </w:pPr>
    </w:p>
    <w:p w14:paraId="01EDEE45" w14:textId="77777777" w:rsidR="00A71033" w:rsidRDefault="00A71033" w:rsidP="00FD3EA1">
      <w:pPr>
        <w:spacing w:line="276" w:lineRule="auto"/>
        <w:ind w:left="1474"/>
        <w:rPr>
          <w:rFonts w:cs="Arial"/>
          <w:sz w:val="24"/>
        </w:rPr>
      </w:pPr>
    </w:p>
    <w:p w14:paraId="1FDA6D4A" w14:textId="77777777" w:rsidR="00A71033" w:rsidRDefault="00A71033" w:rsidP="00FD3EA1">
      <w:pPr>
        <w:spacing w:line="276" w:lineRule="auto"/>
        <w:ind w:left="1474"/>
        <w:rPr>
          <w:rFonts w:cs="Arial"/>
          <w:sz w:val="24"/>
        </w:rPr>
      </w:pPr>
    </w:p>
    <w:p w14:paraId="199F6769" w14:textId="77777777" w:rsidR="0064592E" w:rsidRDefault="0064592E" w:rsidP="006459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6064"/>
      </w:tblGrid>
      <w:tr w:rsidR="0064592E" w14:paraId="54454A80" w14:textId="77777777" w:rsidTr="00696FFA">
        <w:tc>
          <w:tcPr>
            <w:tcW w:w="9095" w:type="dxa"/>
            <w:gridSpan w:val="2"/>
            <w:shd w:val="clear" w:color="auto" w:fill="auto"/>
          </w:tcPr>
          <w:p w14:paraId="134EE21E" w14:textId="77777777" w:rsidR="0064592E" w:rsidRPr="00BE0039" w:rsidRDefault="0064592E" w:rsidP="008A4D35">
            <w:pPr>
              <w:overflowPunct w:val="0"/>
              <w:autoSpaceDE w:val="0"/>
              <w:autoSpaceDN w:val="0"/>
              <w:adjustRightInd w:val="0"/>
              <w:jc w:val="center"/>
              <w:textAlignment w:val="baseline"/>
              <w:rPr>
                <w:b/>
              </w:rPr>
            </w:pPr>
            <w:r w:rsidRPr="00BE0039">
              <w:rPr>
                <w:b/>
              </w:rPr>
              <w:t>Document Control Information</w:t>
            </w:r>
          </w:p>
        </w:tc>
      </w:tr>
      <w:tr w:rsidR="00A22965" w14:paraId="64ED4C4F" w14:textId="77777777" w:rsidTr="00957BB5">
        <w:tc>
          <w:tcPr>
            <w:tcW w:w="3031" w:type="dxa"/>
            <w:shd w:val="clear" w:color="auto" w:fill="auto"/>
          </w:tcPr>
          <w:p w14:paraId="0147F3C9" w14:textId="77777777" w:rsidR="00A22965" w:rsidRDefault="00A22965" w:rsidP="008A4D35">
            <w:pPr>
              <w:overflowPunct w:val="0"/>
              <w:autoSpaceDE w:val="0"/>
              <w:autoSpaceDN w:val="0"/>
              <w:adjustRightInd w:val="0"/>
              <w:textAlignment w:val="baseline"/>
            </w:pPr>
            <w:r>
              <w:t>Document Issued By</w:t>
            </w:r>
          </w:p>
        </w:tc>
        <w:tc>
          <w:tcPr>
            <w:tcW w:w="6064" w:type="dxa"/>
            <w:shd w:val="clear" w:color="auto" w:fill="auto"/>
          </w:tcPr>
          <w:p w14:paraId="3FDEE468" w14:textId="0F261A9C" w:rsidR="00A22965" w:rsidRDefault="00A22965" w:rsidP="008A4D35">
            <w:pPr>
              <w:overflowPunct w:val="0"/>
              <w:autoSpaceDE w:val="0"/>
              <w:autoSpaceDN w:val="0"/>
              <w:adjustRightInd w:val="0"/>
              <w:textAlignment w:val="baseline"/>
            </w:pPr>
            <w:r>
              <w:t>Diocesan Safeguarding Team</w:t>
            </w:r>
          </w:p>
        </w:tc>
      </w:tr>
      <w:tr w:rsidR="0064592E" w14:paraId="1C5B0E3F" w14:textId="77777777" w:rsidTr="00696FFA">
        <w:tc>
          <w:tcPr>
            <w:tcW w:w="3031" w:type="dxa"/>
            <w:shd w:val="clear" w:color="auto" w:fill="auto"/>
          </w:tcPr>
          <w:p w14:paraId="7E956D6E" w14:textId="77777777" w:rsidR="0064592E" w:rsidRDefault="0064592E" w:rsidP="008A4D35">
            <w:pPr>
              <w:overflowPunct w:val="0"/>
              <w:autoSpaceDE w:val="0"/>
              <w:autoSpaceDN w:val="0"/>
              <w:adjustRightInd w:val="0"/>
              <w:textAlignment w:val="baseline"/>
            </w:pPr>
            <w:r>
              <w:t>Document Issued Date</w:t>
            </w:r>
          </w:p>
        </w:tc>
        <w:tc>
          <w:tcPr>
            <w:tcW w:w="6064" w:type="dxa"/>
            <w:vMerge w:val="restart"/>
            <w:shd w:val="clear" w:color="auto" w:fill="auto"/>
          </w:tcPr>
          <w:p w14:paraId="45940308" w14:textId="77777777" w:rsidR="0064592E" w:rsidRDefault="00F10D54" w:rsidP="008A4D35">
            <w:pPr>
              <w:overflowPunct w:val="0"/>
              <w:autoSpaceDE w:val="0"/>
              <w:autoSpaceDN w:val="0"/>
              <w:adjustRightInd w:val="0"/>
              <w:textAlignment w:val="baseline"/>
            </w:pPr>
            <w:r>
              <w:t>May 2014</w:t>
            </w:r>
          </w:p>
          <w:p w14:paraId="5A451D4D" w14:textId="77777777" w:rsidR="00F10D54" w:rsidRDefault="00F10D54" w:rsidP="008A4D35">
            <w:pPr>
              <w:overflowPunct w:val="0"/>
              <w:autoSpaceDE w:val="0"/>
              <w:autoSpaceDN w:val="0"/>
              <w:adjustRightInd w:val="0"/>
              <w:textAlignment w:val="baseline"/>
            </w:pPr>
            <w:r>
              <w:t>Annual</w:t>
            </w:r>
          </w:p>
          <w:p w14:paraId="2881F32F" w14:textId="71BE977C" w:rsidR="00A71033" w:rsidRDefault="00A22965" w:rsidP="00DA1DE5">
            <w:pPr>
              <w:overflowPunct w:val="0"/>
              <w:autoSpaceDE w:val="0"/>
              <w:autoSpaceDN w:val="0"/>
              <w:adjustRightInd w:val="0"/>
              <w:textAlignment w:val="baseline"/>
            </w:pPr>
            <w:r>
              <w:t>August 2023</w:t>
            </w:r>
          </w:p>
        </w:tc>
      </w:tr>
      <w:tr w:rsidR="0064592E" w14:paraId="2E15D6F4" w14:textId="77777777" w:rsidTr="00696FFA">
        <w:tc>
          <w:tcPr>
            <w:tcW w:w="3031" w:type="dxa"/>
            <w:shd w:val="clear" w:color="auto" w:fill="auto"/>
          </w:tcPr>
          <w:p w14:paraId="6C3E34E4" w14:textId="77777777" w:rsidR="0064592E" w:rsidRDefault="0064592E" w:rsidP="008A4D35">
            <w:pPr>
              <w:overflowPunct w:val="0"/>
              <w:autoSpaceDE w:val="0"/>
              <w:autoSpaceDN w:val="0"/>
              <w:adjustRightInd w:val="0"/>
              <w:textAlignment w:val="baseline"/>
            </w:pPr>
            <w:r>
              <w:t>Review Frequency</w:t>
            </w:r>
          </w:p>
        </w:tc>
        <w:tc>
          <w:tcPr>
            <w:tcW w:w="6064" w:type="dxa"/>
            <w:vMerge/>
            <w:shd w:val="clear" w:color="auto" w:fill="auto"/>
          </w:tcPr>
          <w:p w14:paraId="297FFCE6" w14:textId="77777777" w:rsidR="0064592E" w:rsidRDefault="0064592E" w:rsidP="008A4D35">
            <w:pPr>
              <w:overflowPunct w:val="0"/>
              <w:autoSpaceDE w:val="0"/>
              <w:autoSpaceDN w:val="0"/>
              <w:adjustRightInd w:val="0"/>
              <w:textAlignment w:val="baseline"/>
            </w:pPr>
          </w:p>
        </w:tc>
      </w:tr>
      <w:tr w:rsidR="0064592E" w14:paraId="6C2D8522" w14:textId="77777777" w:rsidTr="00696FFA">
        <w:tc>
          <w:tcPr>
            <w:tcW w:w="3031" w:type="dxa"/>
            <w:shd w:val="clear" w:color="auto" w:fill="auto"/>
          </w:tcPr>
          <w:p w14:paraId="16E4087D" w14:textId="77777777" w:rsidR="0064592E" w:rsidRDefault="00DC7F95" w:rsidP="008A4D35">
            <w:pPr>
              <w:overflowPunct w:val="0"/>
              <w:autoSpaceDE w:val="0"/>
              <w:autoSpaceDN w:val="0"/>
              <w:adjustRightInd w:val="0"/>
              <w:textAlignment w:val="baseline"/>
            </w:pPr>
            <w:r>
              <w:t>Last Review</w:t>
            </w:r>
          </w:p>
        </w:tc>
        <w:tc>
          <w:tcPr>
            <w:tcW w:w="6064" w:type="dxa"/>
            <w:vMerge/>
            <w:shd w:val="clear" w:color="auto" w:fill="auto"/>
          </w:tcPr>
          <w:p w14:paraId="45265F94" w14:textId="77777777" w:rsidR="0064592E" w:rsidRDefault="0064592E" w:rsidP="008A4D35">
            <w:pPr>
              <w:overflowPunct w:val="0"/>
              <w:autoSpaceDE w:val="0"/>
              <w:autoSpaceDN w:val="0"/>
              <w:adjustRightInd w:val="0"/>
              <w:textAlignment w:val="baseline"/>
            </w:pPr>
          </w:p>
        </w:tc>
      </w:tr>
      <w:tr w:rsidR="00696FFA" w14:paraId="185B09B3" w14:textId="77777777" w:rsidTr="00696FFA">
        <w:tc>
          <w:tcPr>
            <w:tcW w:w="3031" w:type="dxa"/>
            <w:shd w:val="clear" w:color="auto" w:fill="auto"/>
          </w:tcPr>
          <w:p w14:paraId="2959576C" w14:textId="77777777" w:rsidR="00696FFA" w:rsidRDefault="00696FFA" w:rsidP="008A4D35">
            <w:pPr>
              <w:overflowPunct w:val="0"/>
              <w:autoSpaceDE w:val="0"/>
              <w:autoSpaceDN w:val="0"/>
              <w:adjustRightInd w:val="0"/>
              <w:textAlignment w:val="baseline"/>
            </w:pPr>
            <w:r>
              <w:t>Changes at Review</w:t>
            </w:r>
          </w:p>
        </w:tc>
        <w:tc>
          <w:tcPr>
            <w:tcW w:w="6064" w:type="dxa"/>
            <w:shd w:val="clear" w:color="auto" w:fill="auto"/>
          </w:tcPr>
          <w:p w14:paraId="637B9DA1" w14:textId="6D6986C5" w:rsidR="00696FFA" w:rsidRDefault="00DA1DE5" w:rsidP="00DA1DE5">
            <w:pPr>
              <w:overflowPunct w:val="0"/>
              <w:autoSpaceDE w:val="0"/>
              <w:autoSpaceDN w:val="0"/>
              <w:adjustRightInd w:val="0"/>
              <w:textAlignment w:val="baseline"/>
            </w:pPr>
            <w:r>
              <w:t xml:space="preserve">Change from </w:t>
            </w:r>
            <w:r w:rsidR="005B35BA">
              <w:t xml:space="preserve">CCPAS to </w:t>
            </w:r>
            <w:proofErr w:type="spellStart"/>
            <w:r w:rsidR="005B35BA">
              <w:t>Thirtyone:Eight</w:t>
            </w:r>
            <w:proofErr w:type="spellEnd"/>
            <w:r w:rsidR="005D3C49">
              <w:t xml:space="preserve">; </w:t>
            </w:r>
            <w:r w:rsidR="005B35BA">
              <w:t xml:space="preserve"> updated </w:t>
            </w:r>
            <w:r w:rsidR="00A22965">
              <w:t>CofE policy inserted</w:t>
            </w:r>
            <w:r w:rsidR="005D3C49">
              <w:t>; Bishop’s Safeguarding Lead updated to Deputy Diocesan Secretary</w:t>
            </w:r>
          </w:p>
        </w:tc>
      </w:tr>
      <w:tr w:rsidR="00DC7F95" w14:paraId="31208DA1" w14:textId="77777777" w:rsidTr="00696FFA">
        <w:tc>
          <w:tcPr>
            <w:tcW w:w="3031" w:type="dxa"/>
            <w:shd w:val="clear" w:color="auto" w:fill="auto"/>
          </w:tcPr>
          <w:p w14:paraId="778FD431" w14:textId="77777777" w:rsidR="00DC7F95" w:rsidRDefault="00DC7F95" w:rsidP="008A4D35">
            <w:pPr>
              <w:overflowPunct w:val="0"/>
              <w:autoSpaceDE w:val="0"/>
              <w:autoSpaceDN w:val="0"/>
              <w:adjustRightInd w:val="0"/>
              <w:textAlignment w:val="baseline"/>
            </w:pPr>
            <w:r>
              <w:t>Next Review Date</w:t>
            </w:r>
          </w:p>
        </w:tc>
        <w:tc>
          <w:tcPr>
            <w:tcW w:w="6064" w:type="dxa"/>
            <w:shd w:val="clear" w:color="auto" w:fill="auto"/>
          </w:tcPr>
          <w:p w14:paraId="63CC5688" w14:textId="4F913E3E" w:rsidR="00DC7F95" w:rsidRDefault="00A22965" w:rsidP="00DA1DE5">
            <w:pPr>
              <w:overflowPunct w:val="0"/>
              <w:autoSpaceDE w:val="0"/>
              <w:autoSpaceDN w:val="0"/>
              <w:adjustRightInd w:val="0"/>
              <w:textAlignment w:val="baseline"/>
            </w:pPr>
            <w:r>
              <w:t>August 2024</w:t>
            </w:r>
          </w:p>
        </w:tc>
      </w:tr>
    </w:tbl>
    <w:p w14:paraId="48E61462" w14:textId="77777777" w:rsidR="0064592E" w:rsidRDefault="0064592E" w:rsidP="001D42EA"/>
    <w:sectPr w:rsidR="0064592E" w:rsidSect="00AF0D9A">
      <w:footerReference w:type="default" r:id="rId15"/>
      <w:footerReference w:type="first" r:id="rId16"/>
      <w:pgSz w:w="11907" w:h="16840" w:code="9"/>
      <w:pgMar w:top="1418" w:right="1610" w:bottom="249" w:left="1418" w:header="142" w:footer="23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560E" w14:textId="77777777" w:rsidR="000E00E0" w:rsidRDefault="000E00E0" w:rsidP="00E932BC">
      <w:r>
        <w:separator/>
      </w:r>
    </w:p>
  </w:endnote>
  <w:endnote w:type="continuationSeparator" w:id="0">
    <w:p w14:paraId="0302645A" w14:textId="77777777" w:rsidR="000E00E0" w:rsidRDefault="000E00E0" w:rsidP="00E9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CA77" w14:textId="77777777" w:rsidR="00DB10BD" w:rsidRPr="0042310B" w:rsidRDefault="00DB10BD" w:rsidP="0042310B">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750497">
      <w:rPr>
        <w:rFonts w:ascii="Gill Sans MT" w:hAnsi="Gill Sans MT" w:cs="Arial"/>
        <w:b/>
        <w:bCs/>
        <w:noProof/>
        <w:sz w:val="20"/>
      </w:rPr>
      <w:t>1</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750497">
      <w:rPr>
        <w:rFonts w:ascii="Gill Sans MT" w:hAnsi="Gill Sans MT" w:cs="Arial"/>
        <w:b/>
        <w:bCs/>
        <w:noProof/>
        <w:sz w:val="20"/>
      </w:rPr>
      <w:t>3</w:t>
    </w:r>
    <w:r w:rsidRPr="008A54C1">
      <w:rPr>
        <w:rFonts w:ascii="Gill Sans MT" w:hAnsi="Gill Sans MT" w:cs="Arial"/>
        <w:b/>
        <w:bCs/>
      </w:rPr>
      <w:fldChar w:fldCharType="end"/>
    </w:r>
    <w:r>
      <w:rPr>
        <w:rFonts w:ascii="Gill Sans MT" w:hAnsi="Gill Sans MT"/>
        <w:noProof/>
        <w:color w:val="808080"/>
        <w:sz w:val="18"/>
        <w:szCs w:val="18"/>
        <w:lang w:eastAsia="en-GB"/>
      </w:rPr>
      <w:pict w14:anchorId="6E882683">
        <v:shapetype id="_x0000_t32" coordsize="21600,21600" o:spt="32" o:oned="t" path="m,l21600,21600e" filled="f">
          <v:path arrowok="t" fillok="f" o:connecttype="none"/>
          <o:lock v:ext="edit" shapetype="t"/>
        </v:shapetype>
        <v:shape id="_x0000_s2061" type="#_x0000_t32" style="position:absolute;left:0;text-align:left;margin-left:1.85pt;margin-top:12.95pt;width:449.25pt;height:0;z-index:251658240;mso-position-horizontal-relative:text;mso-position-vertical-relative:text" o:connectortype="straight" strokecolor="#bfbfbf"/>
      </w:pict>
    </w:r>
  </w:p>
  <w:p w14:paraId="73B9F33F" w14:textId="1D114842" w:rsidR="00DB10BD" w:rsidRDefault="00DB10BD" w:rsidP="008A54C1">
    <w:pPr>
      <w:spacing w:line="260" w:lineRule="exact"/>
      <w:rPr>
        <w:rFonts w:ascii="Gill Sans MT" w:hAnsi="Gill Sans MT"/>
        <w:color w:val="404040"/>
        <w:sz w:val="16"/>
      </w:rPr>
    </w:pPr>
    <w:r>
      <w:rPr>
        <w:rFonts w:ascii="Gill Sans MT" w:hAnsi="Gill Sans MT"/>
        <w:color w:val="404040"/>
        <w:sz w:val="16"/>
      </w:rPr>
      <w:t xml:space="preserve">Version </w:t>
    </w:r>
    <w:r w:rsidR="0022437E">
      <w:rPr>
        <w:rFonts w:ascii="Gill Sans MT" w:hAnsi="Gill Sans MT"/>
        <w:color w:val="404040"/>
        <w:sz w:val="16"/>
      </w:rPr>
      <w:t>4</w:t>
    </w:r>
    <w:r>
      <w:rPr>
        <w:rFonts w:ascii="Gill Sans MT" w:hAnsi="Gill Sans MT"/>
        <w:color w:val="404040"/>
        <w:sz w:val="16"/>
      </w:rPr>
      <w:t xml:space="preserve"> </w:t>
    </w:r>
    <w:r w:rsidR="00340F5F">
      <w:rPr>
        <w:rFonts w:ascii="Gill Sans MT" w:hAnsi="Gill Sans MT"/>
        <w:color w:val="404040"/>
        <w:sz w:val="16"/>
      </w:rPr>
      <w:t>July</w:t>
    </w:r>
    <w:r>
      <w:rPr>
        <w:rFonts w:ascii="Gill Sans MT" w:hAnsi="Gill Sans MT"/>
        <w:color w:val="404040"/>
        <w:sz w:val="16"/>
      </w:rPr>
      <w:t xml:space="preserve"> 20</w:t>
    </w:r>
    <w:r w:rsidR="0022437E">
      <w:rPr>
        <w:rFonts w:ascii="Gill Sans MT" w:hAnsi="Gill Sans MT"/>
        <w:color w:val="404040"/>
        <w:sz w:val="16"/>
      </w:rPr>
      <w:t>23</w:t>
    </w:r>
    <w:r>
      <w:rPr>
        <w:rFonts w:ascii="Gill Sans MT" w:hAnsi="Gill Sans MT"/>
        <w:color w:val="404040"/>
        <w:sz w:val="16"/>
      </w:rPr>
      <w:tab/>
    </w:r>
  </w:p>
  <w:p w14:paraId="3FB5A4AF" w14:textId="77777777" w:rsidR="00DB10BD" w:rsidRPr="000D3F15" w:rsidRDefault="00DB10BD" w:rsidP="008A54C1">
    <w:pPr>
      <w:spacing w:line="260" w:lineRule="exact"/>
      <w:rPr>
        <w:rFonts w:ascii="Gill Sans MT" w:hAnsi="Gill Sans MT"/>
        <w:color w:val="404040"/>
        <w:sz w:val="16"/>
      </w:rPr>
    </w:pPr>
  </w:p>
  <w:p w14:paraId="367B9D86" w14:textId="77777777" w:rsidR="00DB10BD" w:rsidRPr="00AF0D9A" w:rsidRDefault="00DB10BD" w:rsidP="00AF0D9A">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w:t>
    </w:r>
    <w:r>
      <w:rPr>
        <w:rFonts w:ascii="Gill Sans MT" w:hAnsi="Gill Sans MT"/>
        <w:color w:val="404040"/>
        <w:sz w:val="16"/>
      </w:rPr>
      <w:t xml:space="preserve">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A789" w14:textId="77777777" w:rsidR="00DB10BD" w:rsidRPr="000D3F15" w:rsidRDefault="00DB10BD" w:rsidP="00DC5181">
    <w:pPr>
      <w:spacing w:line="260" w:lineRule="exact"/>
      <w:rPr>
        <w:rFonts w:cs="Arial"/>
        <w:b/>
        <w:color w:val="404040"/>
        <w:sz w:val="18"/>
      </w:rPr>
    </w:pPr>
    <w:r>
      <w:rPr>
        <w:rFonts w:ascii="Gill Sans MT" w:hAnsi="Gill Sans MT"/>
        <w:noProof/>
        <w:color w:val="808080"/>
        <w:sz w:val="18"/>
        <w:szCs w:val="18"/>
        <w:lang w:eastAsia="en-GB"/>
      </w:rPr>
      <w:pict w14:anchorId="783A562A">
        <v:shapetype id="_x0000_t32" coordsize="21600,21600" o:spt="32" o:oned="t" path="m,l21600,21600e" filled="f">
          <v:path arrowok="t" fillok="f" o:connecttype="none"/>
          <o:lock v:ext="edit" shapetype="t"/>
        </v:shapetype>
        <v:shape id="_x0000_s2057" type="#_x0000_t32" style="position:absolute;margin-left:1.85pt;margin-top:12.95pt;width:449.25pt;height:0;z-index:251657216" o:connectortype="straight" strokecolor="#bfbfbf"/>
      </w:pict>
    </w:r>
  </w:p>
  <w:p w14:paraId="4266F5E8" w14:textId="77777777" w:rsidR="00DB10BD" w:rsidRDefault="00DB10BD" w:rsidP="00782E6D">
    <w:pPr>
      <w:spacing w:line="260" w:lineRule="exact"/>
      <w:rPr>
        <w:rFonts w:ascii="Gill Sans MT" w:hAnsi="Gill Sans MT"/>
        <w:color w:val="404040"/>
        <w:sz w:val="16"/>
      </w:rPr>
    </w:pPr>
  </w:p>
  <w:p w14:paraId="02F49589" w14:textId="77777777" w:rsidR="00DB10BD" w:rsidRDefault="00DB10BD"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7C194A7C" w14:textId="77777777" w:rsidR="00DB10BD" w:rsidRPr="000D3F15" w:rsidRDefault="00DB10BD" w:rsidP="00782E6D">
    <w:pPr>
      <w:spacing w:line="260" w:lineRule="exact"/>
      <w:rPr>
        <w:rFonts w:ascii="Gill Sans MT" w:hAnsi="Gill Sans MT"/>
        <w:color w:val="404040"/>
        <w:sz w:val="16"/>
      </w:rPr>
    </w:pPr>
  </w:p>
  <w:p w14:paraId="714B6D35" w14:textId="77777777" w:rsidR="00DB10BD" w:rsidRPr="000D3F15" w:rsidRDefault="00DB10BD"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75A98C40" w14:textId="77777777" w:rsidR="00DB10BD" w:rsidRPr="000D3F15" w:rsidRDefault="00DB10BD"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7881" w14:textId="77777777" w:rsidR="000E00E0" w:rsidRDefault="000E00E0" w:rsidP="00E932BC">
      <w:r>
        <w:separator/>
      </w:r>
    </w:p>
  </w:footnote>
  <w:footnote w:type="continuationSeparator" w:id="0">
    <w:p w14:paraId="52493969" w14:textId="77777777" w:rsidR="000E00E0" w:rsidRDefault="000E00E0" w:rsidP="00E9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75E62"/>
    <w:multiLevelType w:val="hybridMultilevel"/>
    <w:tmpl w:val="6BB6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B48C4"/>
    <w:multiLevelType w:val="hybridMultilevel"/>
    <w:tmpl w:val="85243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8634126">
    <w:abstractNumId w:val="0"/>
  </w:num>
  <w:num w:numId="2" w16cid:durableId="1568957448">
    <w:abstractNumId w:val="3"/>
  </w:num>
  <w:num w:numId="3" w16cid:durableId="1528518172">
    <w:abstractNumId w:val="2"/>
  </w:num>
  <w:num w:numId="4" w16cid:durableId="976839949">
    <w:abstractNumId w:val="1"/>
  </w:num>
  <w:num w:numId="5" w16cid:durableId="2034109715">
    <w:abstractNumId w:val="4"/>
  </w:num>
  <w:num w:numId="6" w16cid:durableId="1087460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2"/>
      <o:rules v:ext="edit">
        <o:r id="V:Rule1" type="connector" idref="#_x0000_s2057"/>
        <o:r id="V:Rule2" type="connector" idref="#_x0000_s206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AD6"/>
    <w:rsid w:val="000026CA"/>
    <w:rsid w:val="00053C17"/>
    <w:rsid w:val="00081BE6"/>
    <w:rsid w:val="00081E71"/>
    <w:rsid w:val="000B739C"/>
    <w:rsid w:val="000B74D3"/>
    <w:rsid w:val="000C4D21"/>
    <w:rsid w:val="000D3F15"/>
    <w:rsid w:val="000E00E0"/>
    <w:rsid w:val="000F4616"/>
    <w:rsid w:val="001511FC"/>
    <w:rsid w:val="00183615"/>
    <w:rsid w:val="00184F4F"/>
    <w:rsid w:val="00194F22"/>
    <w:rsid w:val="001A2E72"/>
    <w:rsid w:val="001A6215"/>
    <w:rsid w:val="001D42EA"/>
    <w:rsid w:val="00215CCB"/>
    <w:rsid w:val="0022437E"/>
    <w:rsid w:val="0023531E"/>
    <w:rsid w:val="002A03A0"/>
    <w:rsid w:val="002A5305"/>
    <w:rsid w:val="002B4F2A"/>
    <w:rsid w:val="003009DE"/>
    <w:rsid w:val="00303A3D"/>
    <w:rsid w:val="003375EC"/>
    <w:rsid w:val="00340F5F"/>
    <w:rsid w:val="0034539F"/>
    <w:rsid w:val="003B298B"/>
    <w:rsid w:val="003B4F65"/>
    <w:rsid w:val="003E3E69"/>
    <w:rsid w:val="003E4550"/>
    <w:rsid w:val="0040166A"/>
    <w:rsid w:val="0040746E"/>
    <w:rsid w:val="0041338D"/>
    <w:rsid w:val="0042310B"/>
    <w:rsid w:val="00452130"/>
    <w:rsid w:val="00461ACC"/>
    <w:rsid w:val="00473D1F"/>
    <w:rsid w:val="0047686B"/>
    <w:rsid w:val="004C12E5"/>
    <w:rsid w:val="004C2A3F"/>
    <w:rsid w:val="004C5F92"/>
    <w:rsid w:val="004D06A9"/>
    <w:rsid w:val="004D0C3B"/>
    <w:rsid w:val="004D2E64"/>
    <w:rsid w:val="00535752"/>
    <w:rsid w:val="005662DA"/>
    <w:rsid w:val="00597A48"/>
    <w:rsid w:val="005B35BA"/>
    <w:rsid w:val="005B535E"/>
    <w:rsid w:val="005D3C49"/>
    <w:rsid w:val="005E14F6"/>
    <w:rsid w:val="0062568C"/>
    <w:rsid w:val="00626F8F"/>
    <w:rsid w:val="0064592E"/>
    <w:rsid w:val="006510C7"/>
    <w:rsid w:val="00696FFA"/>
    <w:rsid w:val="006C4B18"/>
    <w:rsid w:val="00706B28"/>
    <w:rsid w:val="00750497"/>
    <w:rsid w:val="00753CB2"/>
    <w:rsid w:val="00782E6D"/>
    <w:rsid w:val="00784E56"/>
    <w:rsid w:val="007A2A14"/>
    <w:rsid w:val="007A567F"/>
    <w:rsid w:val="007A644B"/>
    <w:rsid w:val="007B2218"/>
    <w:rsid w:val="007B5BD3"/>
    <w:rsid w:val="007D3716"/>
    <w:rsid w:val="00834133"/>
    <w:rsid w:val="00836457"/>
    <w:rsid w:val="00846B60"/>
    <w:rsid w:val="008565FC"/>
    <w:rsid w:val="00890E18"/>
    <w:rsid w:val="008A4D35"/>
    <w:rsid w:val="008A54C1"/>
    <w:rsid w:val="008B4753"/>
    <w:rsid w:val="008D0976"/>
    <w:rsid w:val="00905DB6"/>
    <w:rsid w:val="0090611F"/>
    <w:rsid w:val="009139A0"/>
    <w:rsid w:val="009312F4"/>
    <w:rsid w:val="00944736"/>
    <w:rsid w:val="009958D4"/>
    <w:rsid w:val="009A2660"/>
    <w:rsid w:val="009C444C"/>
    <w:rsid w:val="009E5BCB"/>
    <w:rsid w:val="009E647E"/>
    <w:rsid w:val="00A058F0"/>
    <w:rsid w:val="00A10C5A"/>
    <w:rsid w:val="00A22965"/>
    <w:rsid w:val="00A3539D"/>
    <w:rsid w:val="00A37055"/>
    <w:rsid w:val="00A46B79"/>
    <w:rsid w:val="00A5051A"/>
    <w:rsid w:val="00A526E3"/>
    <w:rsid w:val="00A6232C"/>
    <w:rsid w:val="00A71033"/>
    <w:rsid w:val="00A730D0"/>
    <w:rsid w:val="00A81C56"/>
    <w:rsid w:val="00AA00F1"/>
    <w:rsid w:val="00AB0DD9"/>
    <w:rsid w:val="00AF0D9A"/>
    <w:rsid w:val="00B14568"/>
    <w:rsid w:val="00B21A1F"/>
    <w:rsid w:val="00B34DFB"/>
    <w:rsid w:val="00B51AD6"/>
    <w:rsid w:val="00B70154"/>
    <w:rsid w:val="00B80383"/>
    <w:rsid w:val="00B839BB"/>
    <w:rsid w:val="00BC2F68"/>
    <w:rsid w:val="00BF3011"/>
    <w:rsid w:val="00C13C46"/>
    <w:rsid w:val="00C242AA"/>
    <w:rsid w:val="00C34B0D"/>
    <w:rsid w:val="00C61147"/>
    <w:rsid w:val="00C64188"/>
    <w:rsid w:val="00C72D44"/>
    <w:rsid w:val="00CA2FB0"/>
    <w:rsid w:val="00CD1EAE"/>
    <w:rsid w:val="00D125E6"/>
    <w:rsid w:val="00D212A8"/>
    <w:rsid w:val="00D278ED"/>
    <w:rsid w:val="00D653C1"/>
    <w:rsid w:val="00DA1DE5"/>
    <w:rsid w:val="00DA42F9"/>
    <w:rsid w:val="00DB10BD"/>
    <w:rsid w:val="00DC5181"/>
    <w:rsid w:val="00DC6E3C"/>
    <w:rsid w:val="00DC7F95"/>
    <w:rsid w:val="00DF46A9"/>
    <w:rsid w:val="00E1097E"/>
    <w:rsid w:val="00E15D64"/>
    <w:rsid w:val="00E15D8B"/>
    <w:rsid w:val="00E359BA"/>
    <w:rsid w:val="00E53C88"/>
    <w:rsid w:val="00E56F22"/>
    <w:rsid w:val="00E7291A"/>
    <w:rsid w:val="00E86461"/>
    <w:rsid w:val="00E932BC"/>
    <w:rsid w:val="00EC39FE"/>
    <w:rsid w:val="00EE1F0A"/>
    <w:rsid w:val="00F01D40"/>
    <w:rsid w:val="00F10BEC"/>
    <w:rsid w:val="00F10D54"/>
    <w:rsid w:val="00F25912"/>
    <w:rsid w:val="00F37F72"/>
    <w:rsid w:val="00F474FC"/>
    <w:rsid w:val="00F61804"/>
    <w:rsid w:val="00F8512C"/>
    <w:rsid w:val="00FD3EA1"/>
    <w:rsid w:val="00FD4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219744"/>
  <w14:defaultImageDpi w14:val="300"/>
  <w15:chartTrackingRefBased/>
  <w15:docId w15:val="{F547C71B-1A54-4FE3-A4C4-8655EB23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C3B"/>
    <w:rPr>
      <w:rFonts w:ascii="Arial" w:hAnsi="Arial"/>
      <w:sz w:val="22"/>
      <w:szCs w:val="24"/>
      <w:lang w:eastAsia="en-US"/>
    </w:rPr>
  </w:style>
  <w:style w:type="paragraph" w:styleId="Heading1">
    <w:name w:val="heading 1"/>
    <w:basedOn w:val="Normal"/>
    <w:next w:val="Normal"/>
    <w:link w:val="Heading1Char"/>
    <w:qFormat/>
    <w:rsid w:val="00A10C5A"/>
    <w:pPr>
      <w:keepNext/>
      <w:ind w:right="-694"/>
      <w:outlineLvl w:val="0"/>
    </w:pPr>
    <w:rPr>
      <w:rFonts w:ascii="Times New Roman" w:hAnsi="Times New Roman"/>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sz w:val="24"/>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rsid w:val="00DC6E3C"/>
    <w:rPr>
      <w:color w:val="0000FF"/>
      <w:u w:val="single"/>
    </w:rPr>
  </w:style>
  <w:style w:type="character" w:styleId="PageNumber">
    <w:name w:val="page number"/>
    <w:rsid w:val="004D06A9"/>
  </w:style>
  <w:style w:type="table" w:styleId="TableGrid">
    <w:name w:val="Table Grid"/>
    <w:basedOn w:val="TableNormal"/>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10C5A"/>
    <w:rPr>
      <w:b/>
      <w:bCs/>
      <w:sz w:val="24"/>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sz w:val="24"/>
      <w:lang w:eastAsia="en-GB"/>
    </w:rPr>
  </w:style>
  <w:style w:type="character" w:styleId="FollowedHyperlink">
    <w:name w:val="FollowedHyperlink"/>
    <w:rsid w:val="00DA1DE5"/>
    <w:rPr>
      <w:color w:val="800080"/>
      <w:u w:val="single"/>
    </w:rPr>
  </w:style>
  <w:style w:type="character" w:styleId="UnresolvedMention">
    <w:name w:val="Unresolved Mention"/>
    <w:basedOn w:val="DefaultParagraphFont"/>
    <w:uiPriority w:val="99"/>
    <w:semiHidden/>
    <w:unhideWhenUsed/>
    <w:rsid w:val="005B3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filtering-guidance/dbs-filtering-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urchofengland.org/sites/default/files/2017-11/practice-guidance-responding-to-assessing-and-managing-safeguarding-concerns-or-allegations-against-church-offic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68FA9C76-A136-44CE-B195-57925D0FB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9F80C-06EC-411B-9300-67FAF2D7BD46}">
  <ds:schemaRefs>
    <ds:schemaRef ds:uri="http://schemas.microsoft.com/office/2006/metadata/longProperties"/>
  </ds:schemaRefs>
</ds:datastoreItem>
</file>

<file path=customXml/itemProps3.xml><?xml version="1.0" encoding="utf-8"?>
<ds:datastoreItem xmlns:ds="http://schemas.openxmlformats.org/officeDocument/2006/customXml" ds:itemID="{EC650835-E4F4-416A-A213-31CF07A133F1}">
  <ds:schemaRefs>
    <ds:schemaRef ds:uri="http://schemas.microsoft.com/sharepoint/v3/contenttype/forms"/>
  </ds:schemaRefs>
</ds:datastoreItem>
</file>

<file path=customXml/itemProps4.xml><?xml version="1.0" encoding="utf-8"?>
<ds:datastoreItem xmlns:ds="http://schemas.openxmlformats.org/officeDocument/2006/customXml" ds:itemID="{EEC06CE4-C6A3-4031-B8BA-AC6570C7EB23}">
  <ds:schemaRefs>
    <ds:schemaRef ds:uri="http://schemas.openxmlformats.org/officeDocument/2006/bibliography"/>
  </ds:schemaRefs>
</ds:datastoreItem>
</file>

<file path=customXml/itemProps5.xml><?xml version="1.0" encoding="utf-8"?>
<ds:datastoreItem xmlns:ds="http://schemas.openxmlformats.org/officeDocument/2006/customXml" ds:itemID="{F572EA14-F3FC-4028-9251-59EF8209AD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Professional services letterhead</Template>
  <TotalTime>0</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7773</CharactersWithSpaces>
  <SharedDoc>false</SharedDoc>
  <HLinks>
    <vt:vector size="12" baseType="variant">
      <vt:variant>
        <vt:i4>4456517</vt:i4>
      </vt:variant>
      <vt:variant>
        <vt:i4>3</vt:i4>
      </vt:variant>
      <vt:variant>
        <vt:i4>0</vt:i4>
      </vt:variant>
      <vt:variant>
        <vt:i4>5</vt:i4>
      </vt:variant>
      <vt:variant>
        <vt:lpwstr>../../../Current/Policies/National C of E Policies/risk assessment guidance 2015.pdf</vt:lpwstr>
      </vt:variant>
      <vt:variant>
        <vt:lpwstr/>
      </vt:variant>
      <vt:variant>
        <vt:i4>1572941</vt:i4>
      </vt:variant>
      <vt:variant>
        <vt:i4>0</vt:i4>
      </vt:variant>
      <vt:variant>
        <vt:i4>0</vt:i4>
      </vt:variant>
      <vt:variant>
        <vt:i4>5</vt:i4>
      </vt:variant>
      <vt:variant>
        <vt:lpwstr>https://www.gov.uk/government/publications/dbs-filtering-guidance/dbs-filtering-guide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Cavender</dc:creator>
  <cp:keywords/>
  <cp:lastModifiedBy>Katheryn Caithness</cp:lastModifiedBy>
  <cp:revision>11</cp:revision>
  <cp:lastPrinted>2015-08-21T10:53:00Z</cp:lastPrinted>
  <dcterms:created xsi:type="dcterms:W3CDTF">2023-08-29T15:53:00Z</dcterms:created>
  <dcterms:modified xsi:type="dcterms:W3CDTF">2023-08-29T16:07:00Z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display_urn:schemas-microsoft-com:office:office#Editor">
    <vt:lpwstr>Administrator</vt:lpwstr>
  </property>
  <property fmtid="{D5CDD505-2E9C-101B-9397-08002B2CF9AE}" pid="4" name="Order">
    <vt:lpwstr>948200.000000000</vt:lpwstr>
  </property>
  <property fmtid="{D5CDD505-2E9C-101B-9397-08002B2CF9AE}" pid="5" name="display_urn:schemas-microsoft-com:office:office#Author">
    <vt:lpwstr>Administrator</vt:lpwstr>
  </property>
  <property fmtid="{D5CDD505-2E9C-101B-9397-08002B2CF9AE}" pid="6" name="MediaServiceImageTags">
    <vt:lpwstr/>
  </property>
  <property fmtid="{D5CDD505-2E9C-101B-9397-08002B2CF9AE}" pid="7" name="ContentTypeId">
    <vt:lpwstr>0x010100718B36E2D5EAEF4EBC28093009749D4A</vt:lpwstr>
  </property>
</Properties>
</file>