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DD" w:rsidRDefault="005067DD" w:rsidP="00654B8E">
      <w:pPr>
        <w:spacing w:after="60"/>
        <w:ind w:right="20"/>
      </w:pPr>
    </w:p>
    <w:p w:rsidR="004254DA" w:rsidRDefault="004254DA" w:rsidP="004254DA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b/>
          <w:sz w:val="40"/>
        </w:rPr>
      </w:pPr>
      <w:r>
        <w:rPr>
          <w:rFonts w:ascii="Gill Sans MT" w:hAnsi="Gill Sans MT"/>
          <w:b/>
          <w:sz w:val="40"/>
        </w:rPr>
        <w:t>Bereavement Resources</w:t>
      </w:r>
    </w:p>
    <w:p w:rsidR="004254DA" w:rsidRPr="005067DD" w:rsidRDefault="004254DA" w:rsidP="004254DA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</w:p>
    <w:p w:rsidR="004254DA" w:rsidRDefault="004254DA" w:rsidP="004254DA">
      <w:pPr>
        <w:rPr>
          <w:rFonts w:eastAsia="Calibri"/>
        </w:rPr>
      </w:pPr>
    </w:p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556"/>
        <w:gridCol w:w="7084"/>
      </w:tblGrid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42FBE06" wp14:editId="4699D335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0</wp:posOffset>
                  </wp:positionV>
                  <wp:extent cx="660400" cy="703580"/>
                  <wp:effectExtent l="0" t="0" r="6350" b="1270"/>
                  <wp:wrapTight wrapText="bothSides">
                    <wp:wrapPolygon edited="0">
                      <wp:start x="0" y="0"/>
                      <wp:lineTo x="0" y="21054"/>
                      <wp:lineTo x="21185" y="21054"/>
                      <wp:lineTo x="21185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03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rPr>
                <w:rFonts w:eastAsia="Calibri"/>
              </w:rPr>
            </w:pPr>
            <w:r w:rsidRPr="00460CAB">
              <w:rPr>
                <w:b/>
                <w:bCs/>
              </w:rPr>
              <w:t>The Church of England’s Going for Growth</w:t>
            </w:r>
            <w:r w:rsidRPr="00460CAB">
              <w:t xml:space="preserve"> has an excellent web page full of resources to support bereavement </w:t>
            </w:r>
            <w:hyperlink r:id="rId8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 xml:space="preserve">. </w:t>
            </w:r>
            <w:r>
              <w:br/>
            </w:r>
            <w:r w:rsidRPr="00460CAB">
              <w:t xml:space="preserve">These include links to other sites such as ‘the power of language’ </w:t>
            </w:r>
            <w:hyperlink r:id="rId9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>.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64868BB" wp14:editId="72E6848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127000</wp:posOffset>
                  </wp:positionV>
                  <wp:extent cx="1484630" cy="673100"/>
                  <wp:effectExtent l="0" t="0" r="1270" b="0"/>
                  <wp:wrapTight wrapText="bothSides">
                    <wp:wrapPolygon edited="0">
                      <wp:start x="0" y="0"/>
                      <wp:lineTo x="0" y="20785"/>
                      <wp:lineTo x="21341" y="20785"/>
                      <wp:lineTo x="21341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r w:rsidRPr="00460CAB">
              <w:rPr>
                <w:b/>
                <w:bCs/>
              </w:rPr>
              <w:t>The Marie Curie Great Daffodil Appeal</w:t>
            </w:r>
            <w:r w:rsidRPr="00460CAB">
              <w:t xml:space="preserve"> is a way to fundraise towards their work to support families living with cancer. </w:t>
            </w:r>
            <w:r>
              <w:br/>
            </w:r>
            <w:r w:rsidRPr="00460CAB">
              <w:t xml:space="preserve">Click </w:t>
            </w:r>
            <w:hyperlink r:id="rId11" w:history="1">
              <w:r w:rsidRPr="00460CAB">
                <w:rPr>
                  <w:rStyle w:val="Hyperlink"/>
                  <w:color w:val="2E74B5"/>
                </w:rPr>
                <w:t>here</w:t>
              </w:r>
            </w:hyperlink>
            <w:r w:rsidRPr="00460CAB">
              <w:t xml:space="preserve"> for ideas on how schools can get involved. </w:t>
            </w:r>
            <w:r>
              <w:br/>
            </w:r>
            <w:r w:rsidRPr="00460CAB">
              <w:t xml:space="preserve">Click </w:t>
            </w:r>
            <w:hyperlink r:id="rId12" w:history="1">
              <w:r w:rsidRPr="00460CAB">
                <w:rPr>
                  <w:rStyle w:val="Hyperlink"/>
                  <w:color w:val="2E74B5"/>
                </w:rPr>
                <w:t>here</w:t>
              </w:r>
            </w:hyperlink>
            <w:r w:rsidRPr="00460CAB">
              <w:t xml:space="preserve"> for advice, including what to say or do when a child is returning to school after being bereaved.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0782563" wp14:editId="6C3F0CB9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0</wp:posOffset>
                  </wp:positionV>
                  <wp:extent cx="68580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000" y="21268"/>
                      <wp:lineTo x="21000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rPr>
                <w:rFonts w:eastAsia="Calibri"/>
              </w:rPr>
            </w:pPr>
            <w:r w:rsidRPr="00460CAB">
              <w:rPr>
                <w:b/>
                <w:bCs/>
              </w:rPr>
              <w:t>A PINTEREST</w:t>
            </w:r>
            <w:r w:rsidRPr="00460CAB">
              <w:t xml:space="preserve"> </w:t>
            </w:r>
            <w:r w:rsidRPr="00460CAB">
              <w:rPr>
                <w:b/>
                <w:bCs/>
              </w:rPr>
              <w:t>page of bereavement</w:t>
            </w:r>
            <w:r w:rsidRPr="00460CAB">
              <w:t xml:space="preserve"> resources </w:t>
            </w:r>
            <w:hyperlink r:id="rId14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 xml:space="preserve"> includes useful books and links. Including </w:t>
            </w:r>
            <w:proofErr w:type="spellStart"/>
            <w:r w:rsidRPr="00460CAB">
              <w:t>Rabbityness</w:t>
            </w:r>
            <w:proofErr w:type="spellEnd"/>
            <w:r w:rsidRPr="00460CAB">
              <w:t xml:space="preserve"> by Jo </w:t>
            </w:r>
            <w:proofErr w:type="spellStart"/>
            <w:r w:rsidRPr="00460CAB">
              <w:t>Empson</w:t>
            </w:r>
            <w:proofErr w:type="spellEnd"/>
            <w:r w:rsidRPr="00460CAB">
              <w:t xml:space="preserve">; </w:t>
            </w:r>
            <w:proofErr w:type="spellStart"/>
            <w:r w:rsidRPr="00460CAB">
              <w:t>Waterbugs</w:t>
            </w:r>
            <w:proofErr w:type="spellEnd"/>
            <w:r w:rsidRPr="00460CAB">
              <w:t xml:space="preserve"> and Dragonflies by Doris Stickney and The Invisible String by Patrice Karst.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9D7F32B" wp14:editId="7C988A1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158750</wp:posOffset>
                  </wp:positionV>
                  <wp:extent cx="1403350" cy="301625"/>
                  <wp:effectExtent l="0" t="0" r="6350" b="3175"/>
                  <wp:wrapTight wrapText="bothSides">
                    <wp:wrapPolygon edited="0">
                      <wp:start x="0" y="0"/>
                      <wp:lineTo x="0" y="20463"/>
                      <wp:lineTo x="21405" y="20463"/>
                      <wp:lineTo x="21405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r w:rsidRPr="00460CAB">
              <w:rPr>
                <w:b/>
                <w:bCs/>
              </w:rPr>
              <w:t>Engage Worship</w:t>
            </w:r>
            <w:r w:rsidRPr="00460CAB">
              <w:t xml:space="preserve">  has recently released a song written by Sam Hargreaves called </w:t>
            </w:r>
            <w:hyperlink r:id="rId16" w:history="1">
              <w:r w:rsidRPr="00460CAB">
                <w:rPr>
                  <w:rStyle w:val="Hyperlink"/>
                  <w:b/>
                  <w:bCs/>
                  <w:color w:val="71625B"/>
                </w:rPr>
                <w:t>“There’s a Time For Tears”</w:t>
              </w:r>
            </w:hyperlink>
            <w:r w:rsidRPr="00460CAB">
              <w:rPr>
                <w:color w:val="222222"/>
              </w:rPr>
              <w:t xml:space="preserve">. It draws on </w:t>
            </w:r>
            <w:proofErr w:type="spellStart"/>
            <w:r w:rsidRPr="00460CAB">
              <w:rPr>
                <w:color w:val="222222"/>
              </w:rPr>
              <w:t>Ecclesiasties</w:t>
            </w:r>
            <w:proofErr w:type="spellEnd"/>
            <w:r w:rsidRPr="00460CAB">
              <w:rPr>
                <w:color w:val="222222"/>
              </w:rPr>
              <w:t xml:space="preserve"> 3, Jesus at Lazarus’ tomb and 2 Corinthians. </w:t>
            </w:r>
            <w:r>
              <w:rPr>
                <w:color w:val="222222"/>
              </w:rPr>
              <w:br/>
            </w:r>
            <w:r w:rsidRPr="00460CAB">
              <w:rPr>
                <w:color w:val="222222"/>
              </w:rPr>
              <w:t xml:space="preserve">Click </w:t>
            </w:r>
            <w:hyperlink r:id="rId17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rPr>
                <w:color w:val="222222"/>
              </w:rPr>
              <w:t xml:space="preserve"> for resources including words, video and MP3.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rFonts w:eastAsia="Calibri"/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2F59907" wp14:editId="22FC55E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62230</wp:posOffset>
                  </wp:positionV>
                  <wp:extent cx="1374775" cy="631190"/>
                  <wp:effectExtent l="0" t="0" r="0" b="0"/>
                  <wp:wrapTight wrapText="bothSides">
                    <wp:wrapPolygon edited="0">
                      <wp:start x="0" y="0"/>
                      <wp:lineTo x="0" y="20861"/>
                      <wp:lineTo x="21251" y="20861"/>
                      <wp:lineTo x="21251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rPr>
                <w:rFonts w:eastAsia="Calibri"/>
              </w:rPr>
            </w:pPr>
            <w:r w:rsidRPr="00460CAB">
              <w:rPr>
                <w:b/>
                <w:bCs/>
                <w:color w:val="333333"/>
                <w:lang w:val="en"/>
              </w:rPr>
              <w:t>Child Bereavement UK</w:t>
            </w:r>
            <w:r w:rsidRPr="00460CAB">
              <w:rPr>
                <w:color w:val="333333"/>
                <w:lang w:val="en"/>
              </w:rPr>
              <w:t xml:space="preserve"> </w:t>
            </w:r>
            <w:r w:rsidRPr="00460CAB">
              <w:rPr>
                <w:lang w:val="en"/>
              </w:rPr>
              <w:t xml:space="preserve">supports families and educational professionals both when a baby or child dies or is dying, and when a child is facing bereavement. </w:t>
            </w:r>
            <w:r>
              <w:rPr>
                <w:lang w:val="en"/>
              </w:rPr>
              <w:br/>
            </w:r>
            <w:r w:rsidRPr="00460CAB">
              <w:rPr>
                <w:lang w:val="en"/>
              </w:rPr>
              <w:t>A short 3.5minute video to help adults know how to talk to a child about someone who has died can be found</w:t>
            </w:r>
            <w:r w:rsidRPr="00460CAB">
              <w:rPr>
                <w:color w:val="333333"/>
                <w:lang w:val="en"/>
              </w:rPr>
              <w:t xml:space="preserve"> </w:t>
            </w:r>
            <w:hyperlink r:id="rId19" w:history="1">
              <w:r w:rsidRPr="00460CAB">
                <w:rPr>
                  <w:rStyle w:val="Hyperlink"/>
                  <w:lang w:val="en"/>
                </w:rPr>
                <w:t>here</w:t>
              </w:r>
            </w:hyperlink>
            <w:r w:rsidRPr="00460CAB">
              <w:rPr>
                <w:color w:val="333333"/>
                <w:lang w:val="en"/>
              </w:rPr>
              <w:t xml:space="preserve">. </w:t>
            </w:r>
            <w:r w:rsidRPr="00460CAB">
              <w:rPr>
                <w:lang w:val="en"/>
              </w:rPr>
              <w:t>Homepage</w:t>
            </w:r>
            <w:r w:rsidRPr="00460CAB">
              <w:rPr>
                <w:color w:val="333333"/>
                <w:lang w:val="en"/>
              </w:rPr>
              <w:t xml:space="preserve"> </w:t>
            </w:r>
            <w:hyperlink r:id="rId20" w:history="1">
              <w:r w:rsidRPr="00460CAB">
                <w:rPr>
                  <w:rStyle w:val="Hyperlink"/>
                  <w:lang w:val="en"/>
                </w:rPr>
                <w:t>here</w:t>
              </w:r>
            </w:hyperlink>
            <w:r w:rsidRPr="00460CAB">
              <w:rPr>
                <w:color w:val="333333"/>
                <w:lang w:val="en"/>
              </w:rPr>
              <w:t xml:space="preserve">. </w:t>
            </w:r>
            <w:r w:rsidRPr="00460CAB">
              <w:rPr>
                <w:lang w:val="en"/>
              </w:rPr>
              <w:t>Helpline:</w:t>
            </w:r>
            <w:r w:rsidRPr="00460CAB">
              <w:rPr>
                <w:color w:val="333333"/>
                <w:lang w:val="en"/>
              </w:rPr>
              <w:t xml:space="preserve"> </w:t>
            </w:r>
            <w:r w:rsidRPr="00460CAB">
              <w:rPr>
                <w:b/>
                <w:bCs/>
                <w:color w:val="333333"/>
                <w:lang w:val="en"/>
              </w:rPr>
              <w:t>0800 02 888 40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rFonts w:eastAsia="Calibri"/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4578F0F0" wp14:editId="4BC00C7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1407160" cy="635000"/>
                  <wp:effectExtent l="0" t="0" r="2540" b="0"/>
                  <wp:wrapTight wrapText="bothSides">
                    <wp:wrapPolygon edited="0">
                      <wp:start x="0" y="0"/>
                      <wp:lineTo x="0" y="20736"/>
                      <wp:lineTo x="21347" y="20736"/>
                      <wp:lineTo x="2134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rPr>
                <w:rFonts w:eastAsia="Calibri"/>
              </w:rPr>
            </w:pPr>
            <w:r w:rsidRPr="00460CAB">
              <w:rPr>
                <w:b/>
                <w:bCs/>
              </w:rPr>
              <w:t>The Child Bereavement Network</w:t>
            </w:r>
            <w:r w:rsidRPr="00460CAB">
              <w:t xml:space="preserve"> has a number of resources to support schools. For example a page on curriculum development </w:t>
            </w:r>
            <w:hyperlink r:id="rId22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 xml:space="preserve">, a resources page </w:t>
            </w:r>
            <w:hyperlink r:id="rId23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 xml:space="preserve"> (we recommend the I can, You can cards), some practical tips </w:t>
            </w:r>
            <w:hyperlink r:id="rId24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 xml:space="preserve"> and young people’s stories </w:t>
            </w:r>
            <w:hyperlink r:id="rId25" w:history="1">
              <w:r w:rsidRPr="00460CAB">
                <w:rPr>
                  <w:rStyle w:val="Hyperlink"/>
                </w:rPr>
                <w:t>here</w:t>
              </w:r>
            </w:hyperlink>
            <w:r w:rsidRPr="00460CAB">
              <w:t>.</w:t>
            </w:r>
          </w:p>
        </w:tc>
      </w:tr>
      <w:tr w:rsidR="004254DA" w:rsidTr="009D4EA4">
        <w:tc>
          <w:tcPr>
            <w:tcW w:w="2552" w:type="dxa"/>
          </w:tcPr>
          <w:p w:rsidR="004254DA" w:rsidRDefault="004254DA" w:rsidP="009D4EA4">
            <w:pPr>
              <w:rPr>
                <w:rFonts w:eastAsia="Calibri"/>
              </w:rPr>
            </w:pPr>
            <w:r w:rsidRPr="00DB25FF">
              <w:rPr>
                <w:rFonts w:eastAsia="Calibri"/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21AC076E" wp14:editId="5FA5CFA4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163195</wp:posOffset>
                  </wp:positionV>
                  <wp:extent cx="13716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1300" y="20618"/>
                      <wp:lineTo x="21300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pStyle w:val="NormalWeb"/>
              <w:spacing w:after="20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0CAB">
              <w:rPr>
                <w:rFonts w:ascii="Arial" w:hAnsi="Arial" w:cs="Arial"/>
                <w:b/>
                <w:bCs/>
                <w:color w:val="0A0A0A"/>
                <w:sz w:val="22"/>
                <w:szCs w:val="22"/>
                <w:lang w:val="en-US" w:eastAsia="en-US"/>
              </w:rPr>
              <w:t>PAPYRUS</w:t>
            </w:r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 xml:space="preserve"> has developed a guide to suicide prevention, intervention and </w:t>
            </w:r>
            <w:proofErr w:type="spellStart"/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>postvention</w:t>
            </w:r>
            <w:proofErr w:type="spellEnd"/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 xml:space="preserve"> in schools and colleges. It aims to equip teachers with the skills and knowledge necessary to support schoolchildren who may be having suicidal thoughts with </w:t>
            </w:r>
            <w:hyperlink r:id="rId27" w:history="1">
              <w:r w:rsidRPr="00460CAB">
                <w:rPr>
                  <w:rStyle w:val="Hyperlink"/>
                  <w:rFonts w:ascii="Arial" w:hAnsi="Arial" w:cs="Arial"/>
                  <w:sz w:val="22"/>
                  <w:szCs w:val="22"/>
                  <w:lang w:val="en-US" w:eastAsia="en-US"/>
                </w:rPr>
                <w:t>Save The Class</w:t>
              </w:r>
            </w:hyperlink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 xml:space="preserve"> resources. </w:t>
            </w:r>
            <w:r w:rsidRPr="00460C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It runs </w:t>
            </w:r>
            <w:hyperlink r:id="rId28" w:history="1">
              <w:r w:rsidRPr="00460CAB">
                <w:rPr>
                  <w:rStyle w:val="Hyperlink"/>
                  <w:rFonts w:ascii="Arial" w:hAnsi="Arial" w:cs="Arial"/>
                  <w:sz w:val="22"/>
                  <w:szCs w:val="22"/>
                  <w:lang w:val="en-US" w:eastAsia="en-US"/>
                </w:rPr>
                <w:t>HOPELINEUK</w:t>
              </w:r>
            </w:hyperlink>
            <w:r w:rsidRPr="00460CAB">
              <w:rPr>
                <w:rStyle w:val="Strong"/>
                <w:rFonts w:ascii="Arial" w:hAnsi="Arial" w:cs="Arial"/>
                <w:color w:val="0A0A0A"/>
                <w:sz w:val="22"/>
                <w:szCs w:val="22"/>
              </w:rPr>
              <w:t xml:space="preserve"> </w:t>
            </w:r>
            <w:r w:rsidRPr="00460C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where advisers can talk with children or young people under 35 or others who are worried about them. </w:t>
            </w:r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 xml:space="preserve">The </w:t>
            </w:r>
            <w:hyperlink r:id="rId29" w:history="1">
              <w:r w:rsidRPr="00460CAB">
                <w:rPr>
                  <w:rStyle w:val="Hyperlink"/>
                  <w:rFonts w:ascii="Arial" w:hAnsi="Arial" w:cs="Arial"/>
                  <w:sz w:val="22"/>
                  <w:szCs w:val="22"/>
                  <w:lang w:val="en-US" w:eastAsia="en-US"/>
                </w:rPr>
                <w:t>Bedtime Stories</w:t>
              </w:r>
            </w:hyperlink>
            <w:r w:rsidRPr="00460CAB">
              <w:rPr>
                <w:rFonts w:ascii="Arial" w:hAnsi="Arial" w:cs="Arial"/>
                <w:color w:val="0A0A0A"/>
                <w:sz w:val="22"/>
                <w:szCs w:val="22"/>
                <w:lang w:val="en-US" w:eastAsia="en-US"/>
              </w:rPr>
              <w:t xml:space="preserve"> resources highlight the impact of online bullying.</w:t>
            </w:r>
          </w:p>
        </w:tc>
      </w:tr>
      <w:tr w:rsidR="004254DA" w:rsidTr="009D4EA4">
        <w:tc>
          <w:tcPr>
            <w:tcW w:w="2552" w:type="dxa"/>
          </w:tcPr>
          <w:p w:rsidR="004254DA" w:rsidRPr="00DB25FF" w:rsidRDefault="004254DA" w:rsidP="009D4EA4">
            <w:pPr>
              <w:rPr>
                <w:rFonts w:eastAsia="Calibri"/>
                <w:noProof/>
              </w:rPr>
            </w:pPr>
            <w:r w:rsidRPr="00DB25FF">
              <w:rPr>
                <w:rFonts w:eastAsia="Calibri"/>
                <w:noProof/>
                <w:lang w:eastAsia="en-GB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771BA7C2" wp14:editId="7AFFAD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45085</wp:posOffset>
                  </wp:positionV>
                  <wp:extent cx="1397635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1198" y="21060"/>
                      <wp:lineTo x="21198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50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pStyle w:val="NormalWeb"/>
              <w:spacing w:after="209"/>
              <w:rPr>
                <w:rFonts w:ascii="Arial" w:hAnsi="Arial" w:cs="Arial"/>
                <w:b/>
                <w:bCs/>
                <w:color w:val="0A0A0A"/>
                <w:sz w:val="22"/>
                <w:szCs w:val="22"/>
                <w:lang w:val="en-US" w:eastAsia="en-US"/>
              </w:rPr>
            </w:pPr>
            <w:proofErr w:type="spellStart"/>
            <w:r w:rsidRPr="00460CA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Youthscape</w:t>
            </w:r>
            <w:proofErr w:type="spellEnd"/>
            <w:r w:rsidRPr="00460C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signposts to </w:t>
            </w:r>
            <w:hyperlink r:id="rId31" w:history="1">
              <w:r w:rsidRPr="00460CAB">
                <w:rPr>
                  <w:rStyle w:val="Hyperlink"/>
                  <w:rFonts w:ascii="Arial" w:hAnsi="Arial" w:cs="Arial"/>
                  <w:sz w:val="22"/>
                  <w:szCs w:val="22"/>
                  <w:lang w:eastAsia="en-US"/>
                </w:rPr>
                <w:t>resources</w:t>
              </w:r>
            </w:hyperlink>
            <w:r w:rsidRPr="00460C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that are useful for children/you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ng people’s good mental health</w:t>
            </w:r>
            <w:r w:rsidRPr="00460CA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mostly aimed at secondary school age pupils.</w:t>
            </w:r>
          </w:p>
        </w:tc>
      </w:tr>
      <w:tr w:rsidR="004254DA" w:rsidTr="009D4EA4">
        <w:tc>
          <w:tcPr>
            <w:tcW w:w="2552" w:type="dxa"/>
          </w:tcPr>
          <w:p w:rsidR="004254DA" w:rsidRPr="00DB25FF" w:rsidRDefault="004254DA" w:rsidP="009D4EA4">
            <w:pPr>
              <w:rPr>
                <w:rFonts w:eastAsia="Calibri"/>
                <w:noProof/>
              </w:rPr>
            </w:pPr>
            <w:r w:rsidRPr="00DB25FF"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3DBE092C" wp14:editId="3E72A9A3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63500</wp:posOffset>
                  </wp:positionV>
                  <wp:extent cx="1340485" cy="530225"/>
                  <wp:effectExtent l="0" t="0" r="0" b="3175"/>
                  <wp:wrapTight wrapText="bothSides">
                    <wp:wrapPolygon edited="0">
                      <wp:start x="0" y="0"/>
                      <wp:lineTo x="0" y="20953"/>
                      <wp:lineTo x="21180" y="20953"/>
                      <wp:lineTo x="21180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:rsidR="004254DA" w:rsidRPr="00460CAB" w:rsidRDefault="004254DA" w:rsidP="009D4EA4">
            <w:pPr>
              <w:pStyle w:val="NormalWeb"/>
              <w:spacing w:after="209"/>
              <w:rPr>
                <w:rFonts w:ascii="Arial" w:hAnsi="Arial" w:cs="Arial"/>
                <w:b/>
                <w:bCs/>
                <w:color w:val="0A0A0A"/>
                <w:sz w:val="22"/>
                <w:szCs w:val="22"/>
                <w:lang w:val="en-US" w:eastAsia="en-US"/>
              </w:rPr>
            </w:pPr>
            <w:r w:rsidRPr="00460CAB">
              <w:rPr>
                <w:rFonts w:ascii="Arial" w:hAnsi="Arial" w:cs="Arial"/>
                <w:b/>
                <w:bCs/>
                <w:sz w:val="22"/>
                <w:szCs w:val="22"/>
              </w:rPr>
              <w:t>BBC Ideas</w:t>
            </w:r>
            <w:r w:rsidRPr="00460CAB">
              <w:rPr>
                <w:rFonts w:ascii="Arial" w:hAnsi="Arial" w:cs="Arial"/>
                <w:sz w:val="22"/>
                <w:szCs w:val="22"/>
              </w:rPr>
              <w:t xml:space="preserve"> - A suite of short films focusing on death, bereavement and grief has been made. They may be useful individually to stimulate discussion.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60CAB">
              <w:rPr>
                <w:rFonts w:ascii="Arial" w:hAnsi="Arial" w:cs="Arial"/>
                <w:sz w:val="22"/>
                <w:szCs w:val="22"/>
              </w:rPr>
              <w:t xml:space="preserve">For example there is one where </w:t>
            </w:r>
            <w:r w:rsidRPr="00460CAB">
              <w:rPr>
                <w:rFonts w:ascii="Arial" w:hAnsi="Arial" w:cs="Arial"/>
                <w:sz w:val="22"/>
                <w:szCs w:val="22"/>
                <w:lang w:val="en"/>
              </w:rPr>
              <w:t xml:space="preserve">Palliative care doctor and author Kathryn </w:t>
            </w:r>
            <w:proofErr w:type="spellStart"/>
            <w:r w:rsidRPr="00460CAB">
              <w:rPr>
                <w:rFonts w:ascii="Arial" w:hAnsi="Arial" w:cs="Arial"/>
                <w:sz w:val="22"/>
                <w:szCs w:val="22"/>
                <w:lang w:val="en"/>
              </w:rPr>
              <w:t>Mannix</w:t>
            </w:r>
            <w:proofErr w:type="spellEnd"/>
            <w:r w:rsidRPr="00460CAB">
              <w:rPr>
                <w:rFonts w:ascii="Arial" w:hAnsi="Arial" w:cs="Arial"/>
                <w:sz w:val="22"/>
                <w:szCs w:val="22"/>
                <w:lang w:val="en"/>
              </w:rPr>
              <w:t xml:space="preserve"> argues that it's time to break the taboo that exists around death – click </w:t>
            </w:r>
            <w:hyperlink r:id="rId33" w:history="1">
              <w:r w:rsidRPr="00460CAB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here</w:t>
              </w:r>
            </w:hyperlink>
            <w:r w:rsidRPr="00460CAB">
              <w:rPr>
                <w:rFonts w:ascii="Arial" w:hAnsi="Arial" w:cs="Arial"/>
                <w:sz w:val="22"/>
                <w:szCs w:val="22"/>
                <w:lang w:val="en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460CAB">
              <w:rPr>
                <w:rFonts w:ascii="Arial" w:hAnsi="Arial" w:cs="Arial"/>
                <w:sz w:val="22"/>
                <w:szCs w:val="22"/>
              </w:rPr>
              <w:t xml:space="preserve">And another, which centres on how for some, their childhood bereavement has been a source of strength as they have grown up. Click </w:t>
            </w:r>
            <w:hyperlink r:id="rId34" w:history="1">
              <w:r w:rsidRPr="00460CAB">
                <w:rPr>
                  <w:rStyle w:val="Hyperlink"/>
                  <w:rFonts w:ascii="Arial" w:hAnsi="Arial" w:cs="Arial"/>
                  <w:color w:val="2F5496"/>
                  <w:sz w:val="22"/>
                  <w:szCs w:val="22"/>
                </w:rPr>
                <w:t>here</w:t>
              </w:r>
            </w:hyperlink>
            <w:r w:rsidRPr="00460C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70F6F" w:rsidRPr="002E2BDF" w:rsidRDefault="00770F6F" w:rsidP="00654B8E">
      <w:pPr>
        <w:spacing w:before="120"/>
      </w:pPr>
      <w:bookmarkStart w:id="0" w:name="_GoBack"/>
      <w:bookmarkEnd w:id="0"/>
    </w:p>
    <w:sectPr w:rsidR="00770F6F" w:rsidRPr="002E2BDF" w:rsidSect="00136880">
      <w:footerReference w:type="default" r:id="rId35"/>
      <w:headerReference w:type="first" r:id="rId36"/>
      <w:footerReference w:type="first" r:id="rId37"/>
      <w:pgSz w:w="11906" w:h="16838" w:code="9"/>
      <w:pgMar w:top="719" w:right="1418" w:bottom="71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E3" w:rsidRDefault="00E244E3" w:rsidP="00BF78FF">
      <w:r>
        <w:separator/>
      </w:r>
    </w:p>
  </w:endnote>
  <w:endnote w:type="continuationSeparator" w:id="0">
    <w:p w:rsidR="00E244E3" w:rsidRDefault="00E244E3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D5" w:rsidRPr="001230FB" w:rsidRDefault="00E85FD5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4254DA">
      <w:rPr>
        <w:rStyle w:val="PageNumber"/>
        <w:rFonts w:ascii="Gill Sans MT" w:hAnsi="Gill Sans MT"/>
        <w:noProof/>
        <w:color w:val="404040"/>
        <w:sz w:val="20"/>
      </w:rPr>
      <w:t>2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23C76" wp14:editId="68B64B90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C91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zfIAIAADsEAAAOAAAAZHJzL2Uyb0RvYy54bWysU8GO2jAQvVfqP1i+QxKasBARVtsEetm2&#10;SLv9AGM7idXEtmxDQFX/vWNDENteqqpCMuPMzJs388arx1PfoSM3VihZ4GQaY8QlVUzIpsDfXreT&#10;BUbWEclIpyQv8Jlb/Lh+/2416JzPVKs6xg0CEGnzQRe4dU7nUWRpy3tip0pzCc5amZ44uJomYoYM&#10;gN530SyO59GgDNNGUW4tfK0uTrwO+HXNqfta15Y71BUYuLlwmnDu/RmtVyRvDNGtoFca5B9Y9ERI&#10;KHqDqogj6GDEH1C9oEZZVbspVX2k6lpQHnqAbpL4t25eWqJ56AWGY/VtTPb/wdIvx51BgoF2GEnS&#10;g0RPB6dCZZT68Qza5hBVyp3xDdKTfNHPin63SKqyJbLhIfj1rCE38RnRmxR/sRqK7IfPikEMAfww&#10;q1Nteg8JU0CnIMn5Jgk/OUThY/YQZ+lDhhEdfRHJx0RtrPvEVY+8UWDrDBFN60olJQivTBLKkOOz&#10;dZ4WyccEX1Wqrei6oH8n0VDgZTbLQoJVnWDe6cOsafZlZ9CRwAZ93Ppf6BE892FGHSQLYC0nbHO1&#10;HRHdxYbinfR40BjQuVqXFfmxjJebxWaRTtLZfDNJ46qaPG3LdDLfJg9Z9aEqyyr56aklad4Kxrj0&#10;7MZ1TdK/W4frw7ks2m1hb2OI3qKHeQHZ8T+QDsp6MS9rsVfsvDOj4rChIfj6mvwTuL+Dff/m178A&#10;AAD//wMAUEsDBBQABgAIAAAAIQA54op+2wAAAAcBAAAPAAAAZHJzL2Rvd25yZXYueG1sTI69TsMw&#10;FIV3JN7Bukhs1CGItgm5qSoQTAyQdmFz49skwr4OsZMGnh4jBhjPj875is1sjZho8J1jhOtFAoK4&#10;drrjBmG/e7xag/BBsVbGMSF8kodNeX5WqFy7E7/SVIVGxBH2uUJoQ+hzKX3dklV+4XrimB3dYFWI&#10;cmikHtQpjlsj0yRZSqs6jg+t6um+pfq9Gi1CNX6Z3cvWrfbZx9PSVOvp7fnhiHh5MW/vQASaw18Z&#10;fvAjOpSR6eBG1l4YhJtVLCKktxmIGGdJmoI4/BqyLOR//vIbAAD//wMAUEsBAi0AFAAGAAgAAAAh&#10;ALaDOJL+AAAA4QEAABMAAAAAAAAAAAAAAAAAAAAAAFtDb250ZW50X1R5cGVzXS54bWxQSwECLQAU&#10;AAYACAAAACEAOP0h/9YAAACUAQAACwAAAAAAAAAAAAAAAAAvAQAAX3JlbHMvLnJlbHNQSwECLQAU&#10;AAYACAAAACEAgsjc3yACAAA7BAAADgAAAAAAAAAAAAAAAAAuAgAAZHJzL2Uyb0RvYy54bWxQSwEC&#10;LQAUAAYACAAAACEAOeKKftsAAAAHAQAADwAAAAAAAAAAAAAAAAB6BAAAZHJzL2Rvd25yZXYueG1s&#10;UEsFBgAAAAAEAAQA8wAAAIIFAAAAAA=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E3" w:rsidRDefault="00E244E3" w:rsidP="00BF78FF">
      <w:r>
        <w:separator/>
      </w:r>
    </w:p>
  </w:footnote>
  <w:footnote w:type="continuationSeparator" w:id="0">
    <w:p w:rsidR="00E244E3" w:rsidRDefault="00E244E3" w:rsidP="00BF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E" w:rsidRDefault="00654B8E" w:rsidP="00654B8E">
    <w:pPr>
      <w:pStyle w:val="Footer"/>
      <w:tabs>
        <w:tab w:val="clear" w:pos="9026"/>
        <w:tab w:val="left" w:pos="6195"/>
      </w:tabs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777C338A" wp14:editId="72D221B3">
          <wp:simplePos x="0" y="0"/>
          <wp:positionH relativeFrom="column">
            <wp:posOffset>4709160</wp:posOffset>
          </wp:positionH>
          <wp:positionV relativeFrom="paragraph">
            <wp:posOffset>135255</wp:posOffset>
          </wp:positionV>
          <wp:extent cx="1268095" cy="323850"/>
          <wp:effectExtent l="0" t="0" r="825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9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0263D7E0" wp14:editId="4B5D6BFD">
          <wp:extent cx="1400670" cy="508391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5257" cy="51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sz w:val="32"/>
        <w:szCs w:val="32"/>
      </w:rPr>
      <w:t xml:space="preserve">         </w:t>
    </w:r>
    <w:r>
      <w:rPr>
        <w:noProof/>
        <w:lang w:eastAsia="en-GB"/>
      </w:rPr>
      <w:drawing>
        <wp:inline distT="0" distB="0" distL="0" distR="0" wp14:anchorId="5A04AAEB" wp14:editId="001DDA55">
          <wp:extent cx="409575" cy="55292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10195" cy="55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sz w:val="32"/>
        <w:szCs w:val="32"/>
      </w:rPr>
      <w:t xml:space="preserve">                </w:t>
    </w:r>
    <w:r>
      <w:rPr>
        <w:noProof/>
        <w:lang w:eastAsia="en-GB"/>
      </w:rPr>
      <w:drawing>
        <wp:inline distT="0" distB="0" distL="0" distR="0" wp14:anchorId="144DA402" wp14:editId="01998BE4">
          <wp:extent cx="893258" cy="417557"/>
          <wp:effectExtent l="0" t="0" r="254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ndon SACRE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290" cy="41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 w:hAnsi="Gill Sans MT"/>
        <w:sz w:val="32"/>
        <w:szCs w:val="32"/>
      </w:rPr>
      <w:tab/>
    </w:r>
  </w:p>
  <w:p w:rsidR="00654B8E" w:rsidRDefault="00654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2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15"/>
  </w:num>
  <w:num w:numId="12">
    <w:abstractNumId w:val="21"/>
  </w:num>
  <w:num w:numId="13">
    <w:abstractNumId w:val="1"/>
  </w:num>
  <w:num w:numId="14">
    <w:abstractNumId w:val="12"/>
  </w:num>
  <w:num w:numId="15">
    <w:abstractNumId w:val="17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DF"/>
    <w:rsid w:val="0005616D"/>
    <w:rsid w:val="000F0521"/>
    <w:rsid w:val="000F10BC"/>
    <w:rsid w:val="00103F3E"/>
    <w:rsid w:val="0011712B"/>
    <w:rsid w:val="001230FB"/>
    <w:rsid w:val="00126FE8"/>
    <w:rsid w:val="00136880"/>
    <w:rsid w:val="00143707"/>
    <w:rsid w:val="001D5338"/>
    <w:rsid w:val="002138D4"/>
    <w:rsid w:val="00214F82"/>
    <w:rsid w:val="002B01CB"/>
    <w:rsid w:val="002E258D"/>
    <w:rsid w:val="002E2BDF"/>
    <w:rsid w:val="00321232"/>
    <w:rsid w:val="00331A8C"/>
    <w:rsid w:val="00334821"/>
    <w:rsid w:val="00356413"/>
    <w:rsid w:val="00357F32"/>
    <w:rsid w:val="004254DA"/>
    <w:rsid w:val="00446133"/>
    <w:rsid w:val="0046642E"/>
    <w:rsid w:val="004F4C3A"/>
    <w:rsid w:val="005067DD"/>
    <w:rsid w:val="00555897"/>
    <w:rsid w:val="005A5009"/>
    <w:rsid w:val="005B3E99"/>
    <w:rsid w:val="005D1389"/>
    <w:rsid w:val="005E6A54"/>
    <w:rsid w:val="005F048C"/>
    <w:rsid w:val="005F7F67"/>
    <w:rsid w:val="00606EE7"/>
    <w:rsid w:val="00625FAE"/>
    <w:rsid w:val="00654B8E"/>
    <w:rsid w:val="006A37E8"/>
    <w:rsid w:val="006B3B72"/>
    <w:rsid w:val="006C7256"/>
    <w:rsid w:val="006E10BB"/>
    <w:rsid w:val="007139FE"/>
    <w:rsid w:val="00757303"/>
    <w:rsid w:val="00770F6F"/>
    <w:rsid w:val="00793574"/>
    <w:rsid w:val="007D2156"/>
    <w:rsid w:val="00820CF7"/>
    <w:rsid w:val="00834278"/>
    <w:rsid w:val="008564EE"/>
    <w:rsid w:val="008831D1"/>
    <w:rsid w:val="008A2C10"/>
    <w:rsid w:val="008A2F30"/>
    <w:rsid w:val="008D00AF"/>
    <w:rsid w:val="008E54FE"/>
    <w:rsid w:val="00944B10"/>
    <w:rsid w:val="0094618E"/>
    <w:rsid w:val="009650DB"/>
    <w:rsid w:val="009A75D0"/>
    <w:rsid w:val="009C7FDF"/>
    <w:rsid w:val="00A16D9A"/>
    <w:rsid w:val="00AA1D59"/>
    <w:rsid w:val="00AC259F"/>
    <w:rsid w:val="00AD25C8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A324A"/>
    <w:rsid w:val="00DB1396"/>
    <w:rsid w:val="00DE71B1"/>
    <w:rsid w:val="00E244E3"/>
    <w:rsid w:val="00E30CD4"/>
    <w:rsid w:val="00E40415"/>
    <w:rsid w:val="00E645CA"/>
    <w:rsid w:val="00E66B3B"/>
    <w:rsid w:val="00E66EC3"/>
    <w:rsid w:val="00E85FD5"/>
    <w:rsid w:val="00F31FB3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CDE7020-ECA6-4F7A-AED9-64E14B15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DA"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uiPriority w:val="99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paragraph" w:styleId="NormalWeb">
    <w:name w:val="Normal (Web)"/>
    <w:basedOn w:val="Normal"/>
    <w:uiPriority w:val="99"/>
    <w:unhideWhenUsed/>
    <w:rsid w:val="004254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4254DA"/>
    <w:rPr>
      <w:b/>
      <w:bCs/>
    </w:rPr>
  </w:style>
  <w:style w:type="table" w:styleId="TableGrid">
    <w:name w:val="Table Grid"/>
    <w:basedOn w:val="TableNormal"/>
    <w:uiPriority w:val="59"/>
    <w:rsid w:val="004254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ng4growth.com/growth_in_skills_and_knowledge/pastoral-care/bereavement_resource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hyperlink" Target="https://www.bbc.com/ideas/videos/how-the-pain-of-childhood-grief-can-spur-success/p07t1d4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mariecurie.org.uk/help/support/bereaved-family-friends/supporting-grieving-child/returning-to-school" TargetMode="External"/><Relationship Id="rId17" Type="http://schemas.openxmlformats.org/officeDocument/2006/relationships/hyperlink" Target="https://engageworship.org/ideas/theres-a-time-for-tears-song" TargetMode="External"/><Relationship Id="rId25" Type="http://schemas.openxmlformats.org/officeDocument/2006/relationships/hyperlink" Target="http://www.childhoodbereavementnetwork.org.uk/help-around-a-death/young-peoples-stories.aspx" TargetMode="External"/><Relationship Id="rId33" Type="http://schemas.openxmlformats.org/officeDocument/2006/relationships/hyperlink" Target="https://www.bbc.co.uk/ideas/videos/dying-is-not-as-bad-as-you-think/p062m0xt?playlist=dying-thought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gageworship.org/ideas/theres-a-time-for-tears-song" TargetMode="External"/><Relationship Id="rId20" Type="http://schemas.openxmlformats.org/officeDocument/2006/relationships/hyperlink" Target="https://www.childbereavementuk.org/" TargetMode="External"/><Relationship Id="rId29" Type="http://schemas.openxmlformats.org/officeDocument/2006/relationships/hyperlink" Target="https://papyrus-uk.org/bedtime-stori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ecurie.org.uk/get-involved/fundraise-with-your-school" TargetMode="External"/><Relationship Id="rId24" Type="http://schemas.openxmlformats.org/officeDocument/2006/relationships/hyperlink" Target="http://www.childhoodbereavementnetwork.org.uk/help-around-a-death/practicalities.aspx" TargetMode="External"/><Relationship Id="rId32" Type="http://schemas.openxmlformats.org/officeDocument/2006/relationships/image" Target="media/image9.pn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ncb.org.uk/shop/filter/all/all/Childhood%20Bereavement%20Network" TargetMode="External"/><Relationship Id="rId28" Type="http://schemas.openxmlformats.org/officeDocument/2006/relationships/hyperlink" Target="https://papyrus-uk.org/hopelineuk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TsRoTQcRJQI&amp;feature=emb_rel_end" TargetMode="External"/><Relationship Id="rId31" Type="http://schemas.openxmlformats.org/officeDocument/2006/relationships/hyperlink" Target="https://www.youthscape.co.uk/st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amateursguide.com/the-power-of-language/" TargetMode="External"/><Relationship Id="rId14" Type="http://schemas.openxmlformats.org/officeDocument/2006/relationships/hyperlink" Target="https://www.pinterest.co.uk/revmaryhawes/bereavement-resources/" TargetMode="External"/><Relationship Id="rId22" Type="http://schemas.openxmlformats.org/officeDocument/2006/relationships/hyperlink" Target="http://www.childhoodbereavementnetwork.org.uk/help-around-a-death/what-you-can-do/for-schools-professionals/developing-the-curriculum.aspx" TargetMode="External"/><Relationship Id="rId27" Type="http://schemas.openxmlformats.org/officeDocument/2006/relationships/hyperlink" Target="https://papyrus-uk.org/save-the-class/" TargetMode="External"/><Relationship Id="rId30" Type="http://schemas.openxmlformats.org/officeDocument/2006/relationships/image" Target="media/image8.png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4" Type="http://schemas.openxmlformats.org/officeDocument/2006/relationships/image" Target="media/image1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P\Desktop\Report%20and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 and memo template.dotx</Template>
  <TotalTime>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4211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Priddy</dc:creator>
  <cp:lastModifiedBy>Chris Priddy</cp:lastModifiedBy>
  <cp:revision>2</cp:revision>
  <cp:lastPrinted>2020-04-02T11:52:00Z</cp:lastPrinted>
  <dcterms:created xsi:type="dcterms:W3CDTF">2020-04-02T12:59:00Z</dcterms:created>
  <dcterms:modified xsi:type="dcterms:W3CDTF">2020-04-02T12:59:00Z</dcterms:modified>
</cp:coreProperties>
</file>